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1E11" w:rsidRPr="00D81782" w:rsidRDefault="00353B6D" w:rsidP="00D81782">
      <w:pPr>
        <w:spacing w:after="0" w:line="360" w:lineRule="auto"/>
        <w:jc w:val="both"/>
        <w:rPr>
          <w:rFonts w:ascii="Times New Roman" w:hAnsi="Times New Roman"/>
          <w:sz w:val="28"/>
          <w:szCs w:val="28"/>
        </w:rPr>
      </w:pPr>
      <w:r w:rsidRPr="00D81782">
        <w:rPr>
          <w:rFonts w:ascii="Times New Roman" w:hAnsi="Times New Roman" w:cs="Times New Roman"/>
          <w:sz w:val="28"/>
          <w:szCs w:val="28"/>
          <w:shd w:val="clear" w:color="auto" w:fill="FFFFFF"/>
        </w:rPr>
        <w:t>УДК</w:t>
      </w:r>
      <w:r w:rsidRPr="00D81782">
        <w:rPr>
          <w:rFonts w:ascii="Times New Roman" w:hAnsi="Times New Roman" w:cs="Times New Roman"/>
          <w:sz w:val="28"/>
          <w:szCs w:val="28"/>
        </w:rPr>
        <w:t xml:space="preserve"> 902(477.7):904</w:t>
      </w:r>
    </w:p>
    <w:p w:rsidR="005F1E11" w:rsidRPr="00D81782" w:rsidRDefault="005F1E11" w:rsidP="00D81782">
      <w:pPr>
        <w:spacing w:after="0" w:line="360" w:lineRule="auto"/>
        <w:jc w:val="both"/>
        <w:rPr>
          <w:rFonts w:ascii="Times New Roman" w:hAnsi="Times New Roman" w:cs="Times New Roman"/>
          <w:sz w:val="28"/>
          <w:szCs w:val="28"/>
          <w:shd w:val="clear" w:color="auto" w:fill="FFFFFF"/>
        </w:rPr>
      </w:pPr>
    </w:p>
    <w:p w:rsidR="005F1E11" w:rsidRPr="00D81782" w:rsidRDefault="00353B6D" w:rsidP="00D81782">
      <w:pPr>
        <w:pStyle w:val="ae"/>
        <w:spacing w:line="360" w:lineRule="auto"/>
        <w:jc w:val="both"/>
        <w:rPr>
          <w:rFonts w:ascii="Times New Roman" w:hAnsi="Times New Roman"/>
          <w:sz w:val="28"/>
          <w:szCs w:val="28"/>
          <w:lang w:val="uk-UA"/>
        </w:rPr>
      </w:pPr>
      <w:r w:rsidRPr="00D81782">
        <w:rPr>
          <w:rFonts w:ascii="Times New Roman" w:hAnsi="Times New Roman" w:cs="Times New Roman"/>
          <w:sz w:val="28"/>
          <w:szCs w:val="28"/>
          <w:lang w:val="uk-UA"/>
        </w:rPr>
        <w:t>UNIQUE ARCHAEOLOGICAL MONUMENTS OF MELITOPOLLAND: HISTORICAL-ARCHAEOLOGY SPECIFICITY AND PROBLEMS OF PRESERVATION</w:t>
      </w:r>
    </w:p>
    <w:p w:rsidR="005F1E11" w:rsidRPr="00D81782" w:rsidRDefault="005F1E11" w:rsidP="00D81782">
      <w:pPr>
        <w:pStyle w:val="ae"/>
        <w:spacing w:line="360" w:lineRule="auto"/>
        <w:jc w:val="both"/>
        <w:rPr>
          <w:rFonts w:ascii="Times New Roman" w:hAnsi="Times New Roman" w:cs="Times New Roman"/>
          <w:sz w:val="28"/>
          <w:szCs w:val="28"/>
          <w:lang w:val="uk-UA"/>
        </w:rPr>
      </w:pPr>
    </w:p>
    <w:p w:rsidR="009D5A05" w:rsidRPr="00D81782" w:rsidRDefault="00353B6D" w:rsidP="00D81782">
      <w:pPr>
        <w:pStyle w:val="ae"/>
        <w:spacing w:line="360" w:lineRule="auto"/>
        <w:jc w:val="both"/>
        <w:rPr>
          <w:rFonts w:ascii="Times New Roman" w:hAnsi="Times New Roman" w:cs="Times New Roman"/>
          <w:sz w:val="28"/>
          <w:szCs w:val="28"/>
          <w:lang w:val="uk-UA"/>
        </w:rPr>
      </w:pPr>
      <w:r w:rsidRPr="00D81782">
        <w:rPr>
          <w:rFonts w:ascii="Times New Roman" w:hAnsi="Times New Roman" w:cs="Times New Roman"/>
          <w:b/>
          <w:sz w:val="28"/>
          <w:szCs w:val="28"/>
          <w:lang w:val="uk-UA"/>
        </w:rPr>
        <w:t>Оlexander Sytnyk</w:t>
      </w:r>
      <w:r w:rsidRPr="00D81782">
        <w:rPr>
          <w:rFonts w:ascii="Times New Roman" w:hAnsi="Times New Roman" w:cs="Times New Roman"/>
          <w:b/>
          <w:bCs/>
          <w:iCs/>
          <w:sz w:val="28"/>
          <w:szCs w:val="28"/>
          <w:lang w:val="uk-UA"/>
        </w:rPr>
        <w:t xml:space="preserve">, </w:t>
      </w:r>
      <w:r w:rsidRPr="00D81782">
        <w:rPr>
          <w:rFonts w:ascii="Times New Roman" w:hAnsi="Times New Roman" w:cs="Times New Roman"/>
          <w:b/>
          <w:bCs/>
          <w:iCs/>
          <w:sz w:val="28"/>
          <w:szCs w:val="28"/>
          <w:lang w:val="en-US"/>
        </w:rPr>
        <w:t>Olha</w:t>
      </w:r>
      <w:r w:rsidRPr="00D81782">
        <w:rPr>
          <w:rFonts w:ascii="Times New Roman" w:hAnsi="Times New Roman" w:cs="Times New Roman"/>
          <w:b/>
          <w:bCs/>
          <w:iCs/>
          <w:sz w:val="28"/>
          <w:szCs w:val="28"/>
          <w:lang w:val="uk-UA"/>
        </w:rPr>
        <w:t xml:space="preserve"> </w:t>
      </w:r>
      <w:r w:rsidRPr="00D81782">
        <w:rPr>
          <w:rFonts w:ascii="Times New Roman" w:hAnsi="Times New Roman" w:cs="Times New Roman"/>
          <w:b/>
          <w:bCs/>
          <w:iCs/>
          <w:sz w:val="28"/>
          <w:szCs w:val="28"/>
          <w:lang w:val="en-US"/>
        </w:rPr>
        <w:t>Horbova</w:t>
      </w:r>
      <w:r w:rsidR="00F81062" w:rsidRPr="00D81782">
        <w:rPr>
          <w:rFonts w:ascii="Times New Roman" w:hAnsi="Times New Roman" w:cs="Times New Roman"/>
          <w:b/>
          <w:bCs/>
          <w:iCs/>
          <w:sz w:val="28"/>
          <w:szCs w:val="28"/>
          <w:lang w:val="uk-UA"/>
        </w:rPr>
        <w:t xml:space="preserve">, </w:t>
      </w:r>
      <w:r w:rsidR="009D5A05" w:rsidRPr="00D81782">
        <w:rPr>
          <w:rFonts w:ascii="Times New Roman" w:hAnsi="Times New Roman" w:cs="Times New Roman"/>
          <w:b/>
          <w:sz w:val="28"/>
          <w:szCs w:val="28"/>
          <w:lang w:val="en-US"/>
        </w:rPr>
        <w:t>Mykhailo Smilyk</w:t>
      </w:r>
      <w:r w:rsidR="009D5A05" w:rsidRPr="00D81782">
        <w:rPr>
          <w:rFonts w:ascii="Times New Roman" w:hAnsi="Times New Roman" w:cs="Times New Roman"/>
          <w:sz w:val="28"/>
          <w:szCs w:val="28"/>
          <w:lang w:val="en-US"/>
        </w:rPr>
        <w:t xml:space="preserve"> </w:t>
      </w:r>
    </w:p>
    <w:p w:rsidR="009D5A05" w:rsidRPr="00D81782" w:rsidRDefault="009D5A05" w:rsidP="00D81782">
      <w:pPr>
        <w:pStyle w:val="ae"/>
        <w:spacing w:line="360" w:lineRule="auto"/>
        <w:jc w:val="both"/>
        <w:rPr>
          <w:rFonts w:ascii="Times New Roman" w:hAnsi="Times New Roman" w:cs="Times New Roman"/>
          <w:i/>
          <w:sz w:val="28"/>
          <w:szCs w:val="28"/>
          <w:lang w:val="uk-UA"/>
        </w:rPr>
      </w:pPr>
      <w:r w:rsidRPr="00D81782">
        <w:rPr>
          <w:rFonts w:ascii="Times New Roman" w:hAnsi="Times New Roman" w:cs="Times New Roman"/>
          <w:i/>
          <w:sz w:val="28"/>
          <w:szCs w:val="28"/>
          <w:lang w:val="en-US"/>
        </w:rPr>
        <w:t xml:space="preserve">Bogdan Khmelnitsky Melitopol state pedagogical university </w:t>
      </w:r>
    </w:p>
    <w:p w:rsidR="009D5A05" w:rsidRPr="00D81782" w:rsidRDefault="009D5A05" w:rsidP="00D81782">
      <w:pPr>
        <w:pStyle w:val="ae"/>
        <w:spacing w:line="360" w:lineRule="auto"/>
        <w:jc w:val="both"/>
        <w:rPr>
          <w:rFonts w:ascii="Times New Roman" w:eastAsia="Times New Roman" w:hAnsi="Times New Roman" w:cs="Times New Roman"/>
          <w:b/>
          <w:bCs/>
          <w:i/>
          <w:sz w:val="28"/>
          <w:szCs w:val="28"/>
          <w:lang w:val="uk-UA" w:eastAsia="ru-RU"/>
        </w:rPr>
      </w:pPr>
      <w:r w:rsidRPr="00D81782">
        <w:rPr>
          <w:rFonts w:ascii="Times New Roman" w:hAnsi="Times New Roman" w:cs="Times New Roman"/>
          <w:i/>
          <w:sz w:val="28"/>
          <w:szCs w:val="28"/>
          <w:lang w:val="en-US"/>
        </w:rPr>
        <w:t>Nizhyn Gogol State University</w:t>
      </w:r>
      <w:r w:rsidRPr="00D81782">
        <w:rPr>
          <w:rFonts w:ascii="Times New Roman" w:eastAsia="Times New Roman" w:hAnsi="Times New Roman" w:cs="Times New Roman"/>
          <w:b/>
          <w:bCs/>
          <w:i/>
          <w:sz w:val="28"/>
          <w:szCs w:val="28"/>
          <w:lang w:val="en-US" w:eastAsia="ru-RU"/>
        </w:rPr>
        <w:t xml:space="preserve"> </w:t>
      </w:r>
    </w:p>
    <w:p w:rsidR="009D5A05" w:rsidRPr="00D81782" w:rsidRDefault="009D5A05" w:rsidP="00D81782">
      <w:pPr>
        <w:pStyle w:val="ae"/>
        <w:spacing w:line="360" w:lineRule="auto"/>
        <w:jc w:val="both"/>
        <w:rPr>
          <w:rFonts w:ascii="Times New Roman" w:eastAsia="Times New Roman" w:hAnsi="Times New Roman" w:cs="Times New Roman"/>
          <w:b/>
          <w:bCs/>
          <w:sz w:val="28"/>
          <w:szCs w:val="28"/>
          <w:lang w:val="uk-UA" w:eastAsia="ru-RU"/>
        </w:rPr>
      </w:pPr>
    </w:p>
    <w:p w:rsidR="009D5A05" w:rsidRPr="00D81782" w:rsidRDefault="00353B6D" w:rsidP="00D81782">
      <w:pPr>
        <w:tabs>
          <w:tab w:val="left" w:pos="2160"/>
        </w:tabs>
        <w:spacing w:after="0" w:line="360" w:lineRule="auto"/>
        <w:ind w:firstLine="709"/>
        <w:jc w:val="both"/>
        <w:rPr>
          <w:rFonts w:ascii="Times New Roman" w:hAnsi="Times New Roman" w:cs="Times New Roman"/>
          <w:sz w:val="28"/>
          <w:szCs w:val="28"/>
        </w:rPr>
      </w:pPr>
      <w:proofErr w:type="gramStart"/>
      <w:r w:rsidRPr="00D81782">
        <w:rPr>
          <w:rFonts w:ascii="Times New Roman" w:eastAsia="Times New Roman" w:hAnsi="Times New Roman" w:cs="Times New Roman"/>
          <w:b/>
          <w:bCs/>
          <w:sz w:val="28"/>
          <w:szCs w:val="28"/>
          <w:lang w:val="en-US" w:eastAsia="ru-RU"/>
        </w:rPr>
        <w:t>Introduction</w:t>
      </w:r>
      <w:r w:rsidRPr="00D81782">
        <w:rPr>
          <w:rFonts w:ascii="Times New Roman" w:eastAsia="Calibri" w:hAnsi="Times New Roman" w:cs="Times New Roman"/>
          <w:sz w:val="28"/>
          <w:szCs w:val="28"/>
          <w:lang w:val="en-US"/>
        </w:rPr>
        <w:t>.</w:t>
      </w:r>
      <w:proofErr w:type="gramEnd"/>
      <w:r w:rsidRPr="00D81782">
        <w:rPr>
          <w:rFonts w:ascii="Times New Roman" w:eastAsia="Calibri" w:hAnsi="Times New Roman" w:cs="Times New Roman"/>
          <w:sz w:val="28"/>
          <w:szCs w:val="28"/>
          <w:shd w:val="clear" w:color="auto" w:fill="FFFFFF"/>
          <w:lang w:val="en-US"/>
        </w:rPr>
        <w:t xml:space="preserve"> </w:t>
      </w:r>
      <w:r w:rsidR="009D5A05" w:rsidRPr="00D81782">
        <w:rPr>
          <w:rFonts w:ascii="Times New Roman" w:hAnsi="Times New Roman" w:cs="Times New Roman"/>
          <w:sz w:val="28"/>
          <w:szCs w:val="28"/>
        </w:rPr>
        <w:t>The Melitopol region holds a distinctive place within the archaeological landscape of Southern Ukraine. Its geographical location at the crossroads of steppe routes, its proximity to the Sea of ​​Azov and the basins of the Dnieper and Molochna rivers, the diversity of its natural landscapes, and its long history of human settlement have fostered an exceptionally rich archaeological environment.</w:t>
      </w:r>
    </w:p>
    <w:p w:rsidR="009D5A05" w:rsidRPr="00D81782" w:rsidRDefault="009D5A05" w:rsidP="00D81782">
      <w:pPr>
        <w:tabs>
          <w:tab w:val="left" w:pos="2160"/>
        </w:tabs>
        <w:spacing w:after="0" w:line="360" w:lineRule="auto"/>
        <w:ind w:firstLine="709"/>
        <w:jc w:val="both"/>
        <w:rPr>
          <w:rFonts w:ascii="Times New Roman" w:hAnsi="Times New Roman" w:cs="Times New Roman"/>
          <w:sz w:val="28"/>
          <w:szCs w:val="28"/>
        </w:rPr>
      </w:pPr>
      <w:r w:rsidRPr="00D81782">
        <w:rPr>
          <w:rFonts w:ascii="Times New Roman" w:hAnsi="Times New Roman" w:cs="Times New Roman"/>
          <w:sz w:val="28"/>
          <w:szCs w:val="28"/>
        </w:rPr>
        <w:t>For millennia, the territory of the modern Melitopol region has served as a zone of interaction between diverse cultures and societies. Archaeological sites ranging from the Bronze Age to the Middle Ages are found here, enabling researchers to trace shifts in subsistence strategies, technologies, burial practices, social organization, and patterns of cultural contact.</w:t>
      </w:r>
    </w:p>
    <w:p w:rsidR="009D5A05" w:rsidRPr="00D81782" w:rsidRDefault="009D5A05" w:rsidP="00D81782">
      <w:pPr>
        <w:tabs>
          <w:tab w:val="left" w:pos="2160"/>
        </w:tabs>
        <w:spacing w:after="0" w:line="360" w:lineRule="auto"/>
        <w:ind w:firstLine="709"/>
        <w:jc w:val="both"/>
        <w:rPr>
          <w:rFonts w:ascii="Times New Roman" w:hAnsi="Times New Roman" w:cs="Times New Roman"/>
          <w:sz w:val="28"/>
          <w:szCs w:val="28"/>
        </w:rPr>
      </w:pPr>
      <w:r w:rsidRPr="00D81782">
        <w:rPr>
          <w:rFonts w:ascii="Times New Roman" w:hAnsi="Times New Roman" w:cs="Times New Roman"/>
          <w:sz w:val="28"/>
          <w:szCs w:val="28"/>
        </w:rPr>
        <w:t>A defining feature of the region is the extraordinary concentration of burial mounds (kurgans). These mounds are not merely funerary structures but also serve as historical markers of the settlement and development of the steppe landscape. A single kurgan complex may contain burials from various historical periods, offering unique opportunities to study cultural memory and the reuse of sacred space.</w:t>
      </w:r>
    </w:p>
    <w:p w:rsidR="009D5A05" w:rsidRPr="00D81782" w:rsidRDefault="009D5A05" w:rsidP="00D81782">
      <w:pPr>
        <w:tabs>
          <w:tab w:val="left" w:pos="2160"/>
        </w:tabs>
        <w:spacing w:after="0" w:line="360" w:lineRule="auto"/>
        <w:ind w:firstLine="709"/>
        <w:jc w:val="both"/>
        <w:rPr>
          <w:rFonts w:ascii="Times New Roman" w:hAnsi="Times New Roman" w:cs="Times New Roman"/>
          <w:sz w:val="28"/>
          <w:szCs w:val="28"/>
        </w:rPr>
      </w:pPr>
      <w:r w:rsidRPr="00D81782">
        <w:rPr>
          <w:rFonts w:ascii="Times New Roman" w:hAnsi="Times New Roman" w:cs="Times New Roman"/>
          <w:sz w:val="28"/>
          <w:szCs w:val="28"/>
        </w:rPr>
        <w:t xml:space="preserve">This subject has gained particular urgency amidst the Russian occupation of parts of the Zaporizhzhia region. The loss of access to archaeological sites, the risks of looting and destruction, illicit excavations, the displacement of museum artifacts, </w:t>
      </w:r>
      <w:r w:rsidRPr="00D81782">
        <w:rPr>
          <w:rFonts w:ascii="Times New Roman" w:hAnsi="Times New Roman" w:cs="Times New Roman"/>
          <w:sz w:val="28"/>
          <w:szCs w:val="28"/>
        </w:rPr>
        <w:lastRenderedPageBreak/>
        <w:t>and the threat of losing archaeological records have transformed the research challenge into a pressing need to document cultural heritage.</w:t>
      </w:r>
    </w:p>
    <w:p w:rsidR="009D5A05" w:rsidRPr="00D81782" w:rsidRDefault="009D5A05" w:rsidP="00D81782">
      <w:pPr>
        <w:tabs>
          <w:tab w:val="left" w:pos="2160"/>
        </w:tabs>
        <w:spacing w:after="0" w:line="360" w:lineRule="auto"/>
        <w:ind w:firstLine="709"/>
        <w:jc w:val="both"/>
        <w:rPr>
          <w:rFonts w:ascii="Times New Roman" w:hAnsi="Times New Roman" w:cs="Times New Roman"/>
          <w:sz w:val="28"/>
          <w:szCs w:val="28"/>
        </w:rPr>
      </w:pPr>
      <w:r w:rsidRPr="00D81782">
        <w:rPr>
          <w:rFonts w:ascii="Times New Roman" w:hAnsi="Times New Roman" w:cs="Times New Roman"/>
          <w:sz w:val="28"/>
          <w:szCs w:val="28"/>
        </w:rPr>
        <w:t>The study relies on a comprehensive methodological framework that integrates historical-archaeological, systems, comparative-historical, cultural-landscape, and interdisciplinary approaches. The landscape approach is of particular importance, as the archaeological sites of the Melitopol region must be viewed not in isolation, but as elements of a unified historical and cultural space. The use of GIS technologies, Earth remote sensing, mapping, and digital photogrammetry opens up opportunities for creating an integrated map of the region's archaeological heritage.</w:t>
      </w:r>
    </w:p>
    <w:p w:rsidR="009D5A05" w:rsidRPr="00D81782" w:rsidRDefault="00353B6D" w:rsidP="00D81782">
      <w:pPr>
        <w:tabs>
          <w:tab w:val="left" w:pos="2160"/>
        </w:tabs>
        <w:spacing w:after="0" w:line="360" w:lineRule="auto"/>
        <w:ind w:firstLine="709"/>
        <w:jc w:val="both"/>
        <w:rPr>
          <w:rFonts w:ascii="Times New Roman" w:hAnsi="Times New Roman" w:cs="Times New Roman"/>
          <w:sz w:val="28"/>
          <w:szCs w:val="28"/>
        </w:rPr>
      </w:pPr>
      <w:r w:rsidRPr="00D81782">
        <w:rPr>
          <w:rFonts w:ascii="Times New Roman" w:hAnsi="Times New Roman" w:cs="Times New Roman"/>
          <w:b/>
          <w:sz w:val="28"/>
          <w:szCs w:val="28"/>
        </w:rPr>
        <w:t>Analysis of research</w:t>
      </w:r>
      <w:r w:rsidR="00641C9E" w:rsidRPr="00D81782">
        <w:rPr>
          <w:rFonts w:ascii="Times New Roman" w:hAnsi="Times New Roman" w:cs="Times New Roman"/>
          <w:b/>
          <w:sz w:val="28"/>
          <w:szCs w:val="28"/>
        </w:rPr>
        <w:t xml:space="preserve"> and publications on the issue. </w:t>
      </w:r>
      <w:r w:rsidR="009D5A05" w:rsidRPr="00D81782">
        <w:rPr>
          <w:rFonts w:ascii="Times New Roman" w:hAnsi="Times New Roman" w:cs="Times New Roman"/>
          <w:sz w:val="28"/>
          <w:szCs w:val="28"/>
        </w:rPr>
        <w:t xml:space="preserve">Research on the historical and archaeological sites of the Melitopol </w:t>
      </w:r>
      <w:r w:rsidR="00C60FAB" w:rsidRPr="00D81782">
        <w:rPr>
          <w:rFonts w:ascii="Times New Roman" w:hAnsi="Times New Roman" w:cs="Times New Roman"/>
          <w:sz w:val="28"/>
          <w:szCs w:val="28"/>
        </w:rPr>
        <w:t>region has been conducted by V. Danylenko [1], N. </w:t>
      </w:r>
      <w:r w:rsidR="009D5A05" w:rsidRPr="00D81782">
        <w:rPr>
          <w:rFonts w:ascii="Times New Roman" w:hAnsi="Times New Roman" w:cs="Times New Roman"/>
          <w:sz w:val="28"/>
          <w:szCs w:val="28"/>
        </w:rPr>
        <w:t>Kotova [3], B</w:t>
      </w:r>
      <w:r w:rsidR="00C60FAB" w:rsidRPr="00D81782">
        <w:rPr>
          <w:rFonts w:ascii="Times New Roman" w:hAnsi="Times New Roman" w:cs="Times New Roman"/>
          <w:sz w:val="28"/>
          <w:szCs w:val="28"/>
        </w:rPr>
        <w:t>. </w:t>
      </w:r>
      <w:r w:rsidR="009D5A05" w:rsidRPr="00D81782">
        <w:rPr>
          <w:rFonts w:ascii="Times New Roman" w:hAnsi="Times New Roman" w:cs="Times New Roman"/>
          <w:sz w:val="28"/>
          <w:szCs w:val="28"/>
        </w:rPr>
        <w:t>Mykhailov [4], M</w:t>
      </w:r>
      <w:r w:rsidR="00C60FAB" w:rsidRPr="00D81782">
        <w:rPr>
          <w:rFonts w:ascii="Times New Roman" w:hAnsi="Times New Roman" w:cs="Times New Roman"/>
          <w:sz w:val="28"/>
          <w:szCs w:val="28"/>
        </w:rPr>
        <w:t>. </w:t>
      </w:r>
      <w:r w:rsidR="009D5A05" w:rsidRPr="00D81782">
        <w:rPr>
          <w:rFonts w:ascii="Times New Roman" w:hAnsi="Times New Roman" w:cs="Times New Roman"/>
          <w:sz w:val="28"/>
          <w:szCs w:val="28"/>
        </w:rPr>
        <w:t>Rudynskyi [6], M</w:t>
      </w:r>
      <w:r w:rsidR="00C60FAB" w:rsidRPr="00D81782">
        <w:rPr>
          <w:rFonts w:ascii="Times New Roman" w:hAnsi="Times New Roman" w:cs="Times New Roman"/>
          <w:sz w:val="28"/>
          <w:szCs w:val="28"/>
        </w:rPr>
        <w:t>. </w:t>
      </w:r>
      <w:r w:rsidR="009D5A05" w:rsidRPr="00D81782">
        <w:rPr>
          <w:rFonts w:ascii="Times New Roman" w:hAnsi="Times New Roman" w:cs="Times New Roman"/>
          <w:sz w:val="28"/>
          <w:szCs w:val="28"/>
        </w:rPr>
        <w:t>Cherednychenko and V</w:t>
      </w:r>
      <w:r w:rsidR="00C60FAB" w:rsidRPr="00D81782">
        <w:rPr>
          <w:rFonts w:ascii="Times New Roman" w:hAnsi="Times New Roman" w:cs="Times New Roman"/>
          <w:sz w:val="28"/>
          <w:szCs w:val="28"/>
        </w:rPr>
        <w:t>. </w:t>
      </w:r>
      <w:r w:rsidR="009D5A05" w:rsidRPr="00D81782">
        <w:rPr>
          <w:rFonts w:ascii="Times New Roman" w:hAnsi="Times New Roman" w:cs="Times New Roman"/>
          <w:sz w:val="28"/>
          <w:szCs w:val="28"/>
        </w:rPr>
        <w:t>Murzin [8], among others. However, the question of the specific historical and archaeological character and uniqueness of the sites in the Melitopol region remains pressing and requires more in-depth study.</w:t>
      </w:r>
    </w:p>
    <w:p w:rsidR="009D5A05" w:rsidRPr="00D81782" w:rsidRDefault="009D5A05" w:rsidP="00D81782">
      <w:pPr>
        <w:tabs>
          <w:tab w:val="left" w:pos="2160"/>
        </w:tabs>
        <w:spacing w:after="0" w:line="360" w:lineRule="auto"/>
        <w:ind w:firstLine="709"/>
        <w:jc w:val="both"/>
        <w:rPr>
          <w:rFonts w:ascii="Times New Roman" w:hAnsi="Times New Roman" w:cs="Times New Roman"/>
          <w:sz w:val="28"/>
          <w:szCs w:val="28"/>
        </w:rPr>
      </w:pPr>
      <w:r w:rsidRPr="00D81782">
        <w:rPr>
          <w:rFonts w:ascii="Times New Roman" w:hAnsi="Times New Roman" w:cs="Times New Roman"/>
          <w:b/>
          <w:sz w:val="28"/>
          <w:szCs w:val="28"/>
        </w:rPr>
        <w:t>Aim and tasks</w:t>
      </w:r>
      <w:r w:rsidRPr="00D81782">
        <w:rPr>
          <w:rFonts w:ascii="Times New Roman" w:hAnsi="Times New Roman" w:cs="Times New Roman"/>
          <w:sz w:val="28"/>
          <w:szCs w:val="28"/>
        </w:rPr>
        <w:t>. The aim of this article is to define the specific historical and archaeological character and uniqueness of the archaeological sites in the Melitopol region, to establish their significance for reconstructing the historical processes of the Northern Azov region, and to outline current issues regarding their preservation and documentation.</w:t>
      </w:r>
    </w:p>
    <w:p w:rsidR="009D5A05" w:rsidRPr="00D81782" w:rsidRDefault="009D5A05" w:rsidP="00D81782">
      <w:pPr>
        <w:tabs>
          <w:tab w:val="left" w:pos="2160"/>
        </w:tabs>
        <w:spacing w:after="0" w:line="360" w:lineRule="auto"/>
        <w:ind w:firstLine="709"/>
        <w:jc w:val="both"/>
        <w:rPr>
          <w:rFonts w:ascii="Times New Roman" w:hAnsi="Times New Roman" w:cs="Times New Roman"/>
          <w:sz w:val="28"/>
          <w:szCs w:val="28"/>
        </w:rPr>
      </w:pPr>
      <w:r w:rsidRPr="00D81782">
        <w:rPr>
          <w:rFonts w:ascii="Times New Roman" w:hAnsi="Times New Roman" w:cs="Times New Roman"/>
          <w:sz w:val="28"/>
          <w:szCs w:val="28"/>
        </w:rPr>
        <w:t>To achieve this aim, the following tasks have been set:</w:t>
      </w:r>
    </w:p>
    <w:p w:rsidR="009D5A05" w:rsidRPr="00D81782" w:rsidRDefault="009D5A05" w:rsidP="00D81782">
      <w:pPr>
        <w:tabs>
          <w:tab w:val="left" w:pos="2160"/>
        </w:tabs>
        <w:spacing w:after="0" w:line="360" w:lineRule="auto"/>
        <w:ind w:firstLine="709"/>
        <w:jc w:val="both"/>
        <w:rPr>
          <w:rFonts w:ascii="Times New Roman" w:hAnsi="Times New Roman" w:cs="Times New Roman"/>
          <w:sz w:val="28"/>
          <w:szCs w:val="28"/>
        </w:rPr>
      </w:pPr>
      <w:r w:rsidRPr="00D81782">
        <w:rPr>
          <w:rFonts w:ascii="Times New Roman" w:hAnsi="Times New Roman" w:cs="Times New Roman"/>
          <w:sz w:val="28"/>
          <w:szCs w:val="28"/>
        </w:rPr>
        <w:t>• to characterize the main categories of archaeological sites in the region;</w:t>
      </w:r>
    </w:p>
    <w:p w:rsidR="009D5A05" w:rsidRPr="00D81782" w:rsidRDefault="009D5A05" w:rsidP="00D81782">
      <w:pPr>
        <w:tabs>
          <w:tab w:val="left" w:pos="2160"/>
        </w:tabs>
        <w:spacing w:after="0" w:line="360" w:lineRule="auto"/>
        <w:ind w:firstLine="709"/>
        <w:jc w:val="both"/>
        <w:rPr>
          <w:rFonts w:ascii="Times New Roman" w:hAnsi="Times New Roman" w:cs="Times New Roman"/>
          <w:sz w:val="28"/>
          <w:szCs w:val="28"/>
        </w:rPr>
      </w:pPr>
      <w:r w:rsidRPr="00D81782">
        <w:rPr>
          <w:rFonts w:ascii="Times New Roman" w:hAnsi="Times New Roman" w:cs="Times New Roman"/>
          <w:sz w:val="28"/>
          <w:szCs w:val="28"/>
        </w:rPr>
        <w:t>• to define the features of the archaeological landscape of the Melitopol region;</w:t>
      </w:r>
    </w:p>
    <w:p w:rsidR="009D5A05" w:rsidRPr="00D81782" w:rsidRDefault="009D5A05" w:rsidP="00D81782">
      <w:pPr>
        <w:tabs>
          <w:tab w:val="left" w:pos="2160"/>
        </w:tabs>
        <w:spacing w:after="0" w:line="360" w:lineRule="auto"/>
        <w:ind w:firstLine="709"/>
        <w:jc w:val="both"/>
        <w:rPr>
          <w:rFonts w:ascii="Times New Roman" w:hAnsi="Times New Roman" w:cs="Times New Roman"/>
          <w:sz w:val="28"/>
          <w:szCs w:val="28"/>
        </w:rPr>
      </w:pPr>
      <w:r w:rsidRPr="00D81782">
        <w:rPr>
          <w:rFonts w:ascii="Times New Roman" w:hAnsi="Times New Roman" w:cs="Times New Roman"/>
          <w:sz w:val="28"/>
          <w:szCs w:val="28"/>
        </w:rPr>
        <w:t>• to analyze the most representative and unique sites;</w:t>
      </w:r>
    </w:p>
    <w:p w:rsidR="009D5A05" w:rsidRPr="00D81782" w:rsidRDefault="009D5A05" w:rsidP="00D81782">
      <w:pPr>
        <w:tabs>
          <w:tab w:val="left" w:pos="2160"/>
        </w:tabs>
        <w:spacing w:after="0" w:line="360" w:lineRule="auto"/>
        <w:ind w:firstLine="709"/>
        <w:jc w:val="both"/>
        <w:rPr>
          <w:rFonts w:ascii="Times New Roman" w:hAnsi="Times New Roman" w:cs="Times New Roman"/>
          <w:sz w:val="28"/>
          <w:szCs w:val="28"/>
        </w:rPr>
      </w:pPr>
      <w:r w:rsidRPr="00D81782">
        <w:rPr>
          <w:rFonts w:ascii="Times New Roman" w:hAnsi="Times New Roman" w:cs="Times New Roman"/>
          <w:sz w:val="28"/>
          <w:szCs w:val="28"/>
        </w:rPr>
        <w:t>•</w:t>
      </w:r>
      <w:r w:rsidRPr="00D81782">
        <w:rPr>
          <w:sz w:val="28"/>
          <w:szCs w:val="28"/>
        </w:rPr>
        <w:t> </w:t>
      </w:r>
      <w:r w:rsidRPr="00D81782">
        <w:rPr>
          <w:rFonts w:ascii="Times New Roman" w:hAnsi="Times New Roman" w:cs="Times New Roman"/>
          <w:sz w:val="28"/>
          <w:szCs w:val="28"/>
        </w:rPr>
        <w:t>to trace their role in reconstructing the history of the Northern Azov region;</w:t>
      </w:r>
    </w:p>
    <w:p w:rsidR="009D5A05" w:rsidRPr="00D81782" w:rsidRDefault="009D5A05" w:rsidP="00D81782">
      <w:pPr>
        <w:tabs>
          <w:tab w:val="left" w:pos="2160"/>
        </w:tabs>
        <w:spacing w:after="0" w:line="360" w:lineRule="auto"/>
        <w:ind w:firstLine="709"/>
        <w:jc w:val="both"/>
        <w:rPr>
          <w:rFonts w:ascii="Times New Roman" w:hAnsi="Times New Roman" w:cs="Times New Roman"/>
          <w:sz w:val="28"/>
          <w:szCs w:val="28"/>
        </w:rPr>
      </w:pPr>
      <w:r w:rsidRPr="00D81782">
        <w:rPr>
          <w:rFonts w:ascii="Times New Roman" w:hAnsi="Times New Roman" w:cs="Times New Roman"/>
          <w:sz w:val="28"/>
          <w:szCs w:val="28"/>
        </w:rPr>
        <w:t>• to identify the main contemporary threats to the archaeological heritage;</w:t>
      </w:r>
    </w:p>
    <w:p w:rsidR="009D5A05" w:rsidRPr="00D81782" w:rsidRDefault="009D5A05" w:rsidP="00D81782">
      <w:pPr>
        <w:tabs>
          <w:tab w:val="left" w:pos="2160"/>
        </w:tabs>
        <w:spacing w:after="0" w:line="360" w:lineRule="auto"/>
        <w:ind w:firstLine="709"/>
        <w:jc w:val="both"/>
        <w:rPr>
          <w:rFonts w:ascii="Times New Roman" w:hAnsi="Times New Roman" w:cs="Times New Roman"/>
          <w:sz w:val="28"/>
          <w:szCs w:val="28"/>
        </w:rPr>
      </w:pPr>
      <w:r w:rsidRPr="00D81782">
        <w:rPr>
          <w:rFonts w:ascii="Times New Roman" w:hAnsi="Times New Roman" w:cs="Times New Roman"/>
          <w:sz w:val="28"/>
          <w:szCs w:val="28"/>
        </w:rPr>
        <w:t>•</w:t>
      </w:r>
      <w:r w:rsidRPr="00D81782">
        <w:rPr>
          <w:sz w:val="28"/>
          <w:szCs w:val="28"/>
        </w:rPr>
        <w:t> </w:t>
      </w:r>
      <w:r w:rsidRPr="00D81782">
        <w:rPr>
          <w:rFonts w:ascii="Times New Roman" w:hAnsi="Times New Roman" w:cs="Times New Roman"/>
          <w:sz w:val="28"/>
          <w:szCs w:val="28"/>
        </w:rPr>
        <w:t>to propose directions for its documentation and further research.</w:t>
      </w:r>
    </w:p>
    <w:p w:rsidR="009D5A05" w:rsidRPr="00D81782" w:rsidRDefault="00353B6D" w:rsidP="00D81782">
      <w:pPr>
        <w:tabs>
          <w:tab w:val="left" w:pos="2160"/>
        </w:tabs>
        <w:spacing w:after="0" w:line="360" w:lineRule="auto"/>
        <w:ind w:firstLine="709"/>
        <w:jc w:val="both"/>
        <w:rPr>
          <w:rFonts w:ascii="Times New Roman" w:hAnsi="Times New Roman" w:cs="Times New Roman"/>
          <w:sz w:val="28"/>
          <w:szCs w:val="28"/>
        </w:rPr>
      </w:pPr>
      <w:r w:rsidRPr="00D81782">
        <w:rPr>
          <w:rFonts w:ascii="Times New Roman" w:eastAsia="Times New Roman" w:hAnsi="Times New Roman" w:cs="Times New Roman"/>
          <w:b/>
          <w:bCs/>
          <w:sz w:val="28"/>
          <w:szCs w:val="28"/>
          <w:lang w:eastAsia="ru-RU"/>
        </w:rPr>
        <w:t xml:space="preserve">Research results. </w:t>
      </w:r>
      <w:r w:rsidR="009D5A05" w:rsidRPr="00D81782">
        <w:rPr>
          <w:rFonts w:ascii="Times New Roman" w:hAnsi="Times New Roman" w:cs="Times New Roman"/>
          <w:sz w:val="28"/>
          <w:szCs w:val="28"/>
        </w:rPr>
        <w:t xml:space="preserve">The uniqueness of the Melitopol region is largely defined by its geographical location. The region serves as a distinctive contact zone between the </w:t>
      </w:r>
      <w:r w:rsidR="009D5A05" w:rsidRPr="00D81782">
        <w:rPr>
          <w:rFonts w:ascii="Times New Roman" w:hAnsi="Times New Roman" w:cs="Times New Roman"/>
          <w:sz w:val="28"/>
          <w:szCs w:val="28"/>
        </w:rPr>
        <w:lastRenderedPageBreak/>
        <w:t>steppe, the Sea of ​​Azov littoral, the Lower Dnieper, and Crimea. Throughout history, migration, trade, and military routes have traversed this territory.</w:t>
      </w:r>
    </w:p>
    <w:p w:rsidR="009D5A05" w:rsidRPr="00D81782" w:rsidRDefault="009D5A05" w:rsidP="00D81782">
      <w:pPr>
        <w:tabs>
          <w:tab w:val="left" w:pos="2160"/>
        </w:tabs>
        <w:spacing w:after="0" w:line="360" w:lineRule="auto"/>
        <w:ind w:firstLine="709"/>
        <w:jc w:val="both"/>
        <w:rPr>
          <w:rFonts w:ascii="Times New Roman" w:hAnsi="Times New Roman" w:cs="Times New Roman"/>
          <w:sz w:val="28"/>
          <w:szCs w:val="28"/>
        </w:rPr>
      </w:pPr>
      <w:r w:rsidRPr="00D81782">
        <w:rPr>
          <w:rFonts w:ascii="Times New Roman" w:hAnsi="Times New Roman" w:cs="Times New Roman"/>
          <w:sz w:val="28"/>
          <w:szCs w:val="28"/>
        </w:rPr>
        <w:t>The region’s archaeological landscape encompasses burial mounds (kurgans) and mound groups, settlements, cemeteries, campsites, cult sites, areas of ancient production activity, historic routes, and monuments dating from antiquity and the Middle Ages. It is the combination of sites from various eras that creates a multi-l</w:t>
      </w:r>
      <w:r w:rsidR="009325F4" w:rsidRPr="00D81782">
        <w:rPr>
          <w:rFonts w:ascii="Times New Roman" w:hAnsi="Times New Roman" w:cs="Times New Roman"/>
          <w:sz w:val="28"/>
          <w:szCs w:val="28"/>
        </w:rPr>
        <w:t xml:space="preserve">ayered archaeological landscape – </w:t>
      </w:r>
      <w:r w:rsidRPr="00D81782">
        <w:rPr>
          <w:rFonts w:ascii="Times New Roman" w:hAnsi="Times New Roman" w:cs="Times New Roman"/>
          <w:sz w:val="28"/>
          <w:szCs w:val="28"/>
        </w:rPr>
        <w:t>a key factor in the region's uniqueness.</w:t>
      </w:r>
    </w:p>
    <w:p w:rsidR="009D5A05" w:rsidRPr="00D81782" w:rsidRDefault="009D5A05" w:rsidP="00D81782">
      <w:pPr>
        <w:tabs>
          <w:tab w:val="left" w:pos="2160"/>
        </w:tabs>
        <w:spacing w:after="0" w:line="360" w:lineRule="auto"/>
        <w:ind w:firstLine="709"/>
        <w:jc w:val="both"/>
        <w:rPr>
          <w:rFonts w:ascii="Times New Roman" w:hAnsi="Times New Roman" w:cs="Times New Roman"/>
          <w:sz w:val="28"/>
          <w:szCs w:val="28"/>
        </w:rPr>
      </w:pPr>
      <w:r w:rsidRPr="00D81782">
        <w:rPr>
          <w:rFonts w:ascii="Times New Roman" w:hAnsi="Times New Roman" w:cs="Times New Roman"/>
          <w:sz w:val="28"/>
          <w:szCs w:val="28"/>
        </w:rPr>
        <w:t>The "Kamiana Mohyla" (Stone Grave) National Historical and Archaeological Preserve holds a special place in the region's archaeological heritage. Located in the Molochna River valley near the modern settlement of Myrne (Melitopol district, Zaporizhzhia region), the site is a unique natural and archaeological complex formed by a massive sandstone formation; its grottoes and caves preserve numerous petroglyph complexes. Official Ukrainian sources designate "Kamiana Mohyla" as a site of exceptional scientific and cultural significance. Its uniqueness stems primarily from the concentration of rock art and symbols within a natural setting, offering a unique opportunity to study the spiritual culture of the ancient populations of the steppe zone. Petroglyphs constitute a distinct category of archaeological sources, as they combine material, pictorial, and symbolic components and can serve as a basis for reconstructing the worldviews of ancient societies. Data regarding the Kamiana Mohyla site indicate the presence of numerous grottoes and caves containing petroglyph complexes that span a vast chronological range.</w:t>
      </w:r>
    </w:p>
    <w:p w:rsidR="009D5A05" w:rsidRPr="00D81782" w:rsidRDefault="009D5A05" w:rsidP="00D81782">
      <w:pPr>
        <w:tabs>
          <w:tab w:val="left" w:pos="2160"/>
        </w:tabs>
        <w:spacing w:after="0" w:line="360" w:lineRule="auto"/>
        <w:ind w:firstLine="709"/>
        <w:jc w:val="both"/>
        <w:rPr>
          <w:rFonts w:ascii="Times New Roman" w:hAnsi="Times New Roman" w:cs="Times New Roman"/>
          <w:sz w:val="28"/>
          <w:szCs w:val="28"/>
        </w:rPr>
      </w:pPr>
      <w:r w:rsidRPr="00D81782">
        <w:rPr>
          <w:rFonts w:ascii="Times New Roman" w:hAnsi="Times New Roman" w:cs="Times New Roman"/>
          <w:sz w:val="28"/>
          <w:szCs w:val="28"/>
        </w:rPr>
        <w:t xml:space="preserve">The scientific value of Kamiana Mohyla also lies in the ability to view it not merely as a collection of isolated rock carvings, but as a cohesive, sacred archaeological complex. The interplay of natural topography, grottoes, caves, petroglyphs, and other archaeological materials creates a unique context in which ancient practices of engaging with and inhabiting the landscape were formed and functioned. In this regard, Kamiana Mohyla is crucial for understanding the specific archaeological character of the Melitopol region. While the region’s burial mounds primarily reflect the funerary traditions and social structures of ancient and medieval </w:t>
      </w:r>
      <w:r w:rsidRPr="00D81782">
        <w:rPr>
          <w:rFonts w:ascii="Times New Roman" w:hAnsi="Times New Roman" w:cs="Times New Roman"/>
          <w:sz w:val="28"/>
          <w:szCs w:val="28"/>
        </w:rPr>
        <w:lastRenderedPageBreak/>
        <w:t>societies, Kamiana Mohyla offers an opportunity to explore the symbolic and sacred dimensions of how the steppe landscape was inhabited and understood.</w:t>
      </w:r>
    </w:p>
    <w:p w:rsidR="009325F4" w:rsidRPr="00D81782" w:rsidRDefault="009D5A05" w:rsidP="00D81782">
      <w:pPr>
        <w:tabs>
          <w:tab w:val="left" w:pos="2160"/>
        </w:tabs>
        <w:spacing w:after="0" w:line="360" w:lineRule="auto"/>
        <w:ind w:firstLine="709"/>
        <w:jc w:val="both"/>
        <w:rPr>
          <w:rFonts w:ascii="Times New Roman" w:hAnsi="Times New Roman" w:cs="Times New Roman"/>
          <w:sz w:val="28"/>
          <w:szCs w:val="28"/>
        </w:rPr>
      </w:pPr>
      <w:r w:rsidRPr="00D81782">
        <w:rPr>
          <w:rFonts w:ascii="Times New Roman" w:hAnsi="Times New Roman" w:cs="Times New Roman"/>
          <w:sz w:val="28"/>
          <w:szCs w:val="28"/>
        </w:rPr>
        <w:t>A monograph by M</w:t>
      </w:r>
      <w:r w:rsidR="00C60FAB" w:rsidRPr="00D81782">
        <w:rPr>
          <w:rFonts w:ascii="Times New Roman" w:hAnsi="Times New Roman" w:cs="Times New Roman"/>
          <w:sz w:val="28"/>
          <w:szCs w:val="28"/>
        </w:rPr>
        <w:t>. </w:t>
      </w:r>
      <w:r w:rsidRPr="00D81782">
        <w:rPr>
          <w:rFonts w:ascii="Times New Roman" w:hAnsi="Times New Roman" w:cs="Times New Roman"/>
          <w:sz w:val="28"/>
          <w:szCs w:val="28"/>
        </w:rPr>
        <w:t>Rudynskyi laid the groundwork for introducing the Kamiana Mohyla rock art complex into the broader European scholarly discourse. He was the first to conduct a systematic scientific cataloging of the site’s petroglyphs, developing a rigorous methodology for their contact-based recording, precise tracing, and photographic documentation</w:t>
      </w:r>
      <w:r w:rsidR="009325F4" w:rsidRPr="00D81782">
        <w:rPr>
          <w:rFonts w:ascii="Times New Roman" w:hAnsi="Times New Roman" w:cs="Times New Roman"/>
          <w:sz w:val="28"/>
          <w:szCs w:val="28"/>
        </w:rPr>
        <w:t xml:space="preserve"> – </w:t>
      </w:r>
      <w:r w:rsidRPr="00D81782">
        <w:rPr>
          <w:rFonts w:ascii="Times New Roman" w:hAnsi="Times New Roman" w:cs="Times New Roman"/>
          <w:sz w:val="28"/>
          <w:szCs w:val="28"/>
        </w:rPr>
        <w:t>techniques that took into account the specific lighting conditions of the subterranean cavities and the texture of the sandstone. M. Rudynskyi’s scientific concept interpreted the complex as a monumental spatial sanctuary of a relict nature, the functioning of which was linked to the magical rituals and cult practices of hunting and early pastoralist communities spanning the period from the Neolithic through the Eneolithic and Bronze Ages to the Early Iron Age [7, pp. 11–24]. The corpus of rock art compiled by the scholar remains an indispensable reference dataset for verifying the physical state of the images' preservation, conducting comparative analyses with modern 3D models, and documenting surface loss on the stone slabs caused by erosion and contemporary anthropogenic impact.</w:t>
      </w:r>
    </w:p>
    <w:p w:rsidR="00C60FAB" w:rsidRPr="00D81782" w:rsidRDefault="00C60FAB"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sz w:val="28"/>
          <w:szCs w:val="28"/>
          <w:lang w:val="uk-UA"/>
        </w:rPr>
        <w:t>Ukrainian archaeologists have played a pivotal role in the study of this site</w:t>
      </w:r>
      <w:r w:rsidR="00CF6C75" w:rsidRPr="00D81782">
        <w:rPr>
          <w:rFonts w:ascii="Times New Roman" w:hAnsi="Times New Roman"/>
          <w:sz w:val="28"/>
          <w:szCs w:val="28"/>
          <w:lang w:val="uk-UA"/>
        </w:rPr>
        <w:t xml:space="preserve"> </w:t>
      </w:r>
      <w:r w:rsidR="00CF6C75" w:rsidRPr="00D81782">
        <w:rPr>
          <w:rFonts w:ascii="Times New Roman" w:hAnsi="Times New Roman" w:cs="Times New Roman"/>
          <w:sz w:val="28"/>
          <w:szCs w:val="28"/>
          <w:lang w:val="en-US"/>
        </w:rPr>
        <w:t>–</w:t>
      </w:r>
      <w:r w:rsidR="00CF6C75" w:rsidRPr="00D81782">
        <w:rPr>
          <w:rFonts w:ascii="Times New Roman" w:hAnsi="Times New Roman" w:cs="Times New Roman"/>
          <w:sz w:val="28"/>
          <w:szCs w:val="28"/>
          <w:lang w:val="uk-UA"/>
        </w:rPr>
        <w:t xml:space="preserve"> </w:t>
      </w:r>
      <w:r w:rsidRPr="00D81782">
        <w:rPr>
          <w:rFonts w:ascii="Times New Roman" w:hAnsi="Times New Roman"/>
          <w:sz w:val="28"/>
          <w:szCs w:val="28"/>
          <w:lang w:val="uk-UA"/>
        </w:rPr>
        <w:t>most notably Borys Mykhailov, whose work was directly linked to the research and popularization of "Kamiana Mohyla." Archival records document the long history of the site's scientific investigation and the evolution of its status as a museum-reserve.</w:t>
      </w:r>
    </w:p>
    <w:p w:rsidR="00C60FAB" w:rsidRPr="00D81782" w:rsidRDefault="00C60FAB"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sz w:val="28"/>
          <w:szCs w:val="28"/>
          <w:lang w:val="uk-UA"/>
        </w:rPr>
        <w:t>A major breakthrough in resolving decades-old historiographical and stratigraphic debates surrounding "Kamiana Mohyla 1"</w:t>
      </w:r>
      <w:r w:rsidR="00CF6C75" w:rsidRPr="00D81782">
        <w:rPr>
          <w:rFonts w:ascii="Times New Roman" w:hAnsi="Times New Roman"/>
          <w:sz w:val="28"/>
          <w:szCs w:val="28"/>
          <w:lang w:val="uk-UA"/>
        </w:rPr>
        <w:t xml:space="preserve"> </w:t>
      </w:r>
      <w:r w:rsidR="00CF6C75" w:rsidRPr="00D81782">
        <w:rPr>
          <w:rFonts w:ascii="Times New Roman" w:hAnsi="Times New Roman" w:cs="Times New Roman"/>
          <w:sz w:val="28"/>
          <w:szCs w:val="28"/>
          <w:lang w:val="en-US"/>
        </w:rPr>
        <w:t>–</w:t>
      </w:r>
      <w:r w:rsidR="00CF6C75" w:rsidRPr="00D81782">
        <w:rPr>
          <w:rFonts w:ascii="Times New Roman" w:hAnsi="Times New Roman" w:cs="Times New Roman"/>
          <w:sz w:val="28"/>
          <w:szCs w:val="28"/>
          <w:lang w:val="uk-UA"/>
        </w:rPr>
        <w:t xml:space="preserve"> </w:t>
      </w:r>
      <w:r w:rsidRPr="00D81782">
        <w:rPr>
          <w:rFonts w:ascii="Times New Roman" w:hAnsi="Times New Roman"/>
          <w:sz w:val="28"/>
          <w:szCs w:val="28"/>
          <w:lang w:val="uk-UA"/>
        </w:rPr>
        <w:t>a multi-layered settlement crucial to the region's periodization</w:t>
      </w:r>
      <w:r w:rsidR="00CF6C75" w:rsidRPr="00D81782">
        <w:rPr>
          <w:rFonts w:ascii="Times New Roman" w:hAnsi="Times New Roman"/>
          <w:sz w:val="28"/>
          <w:szCs w:val="28"/>
          <w:lang w:val="uk-UA"/>
        </w:rPr>
        <w:t xml:space="preserve"> </w:t>
      </w:r>
      <w:r w:rsidR="00CF6C75" w:rsidRPr="00D81782">
        <w:rPr>
          <w:rFonts w:ascii="Times New Roman" w:hAnsi="Times New Roman" w:cs="Times New Roman"/>
          <w:sz w:val="28"/>
          <w:szCs w:val="28"/>
          <w:lang w:val="en-US"/>
        </w:rPr>
        <w:t>–</w:t>
      </w:r>
      <w:r w:rsidR="00CF6C75" w:rsidRPr="00D81782">
        <w:rPr>
          <w:rFonts w:ascii="Times New Roman" w:hAnsi="Times New Roman" w:cs="Times New Roman"/>
          <w:sz w:val="28"/>
          <w:szCs w:val="28"/>
          <w:lang w:val="uk-UA"/>
        </w:rPr>
        <w:t xml:space="preserve"> </w:t>
      </w:r>
      <w:r w:rsidRPr="00D81782">
        <w:rPr>
          <w:rFonts w:ascii="Times New Roman" w:hAnsi="Times New Roman"/>
          <w:sz w:val="28"/>
          <w:szCs w:val="28"/>
          <w:lang w:val="uk-UA"/>
        </w:rPr>
        <w:t>was achieved through the application of modern geospatial and remote sensing methods (S</w:t>
      </w:r>
      <w:r w:rsidRPr="00D81782">
        <w:rPr>
          <w:rFonts w:ascii="Times New Roman" w:hAnsi="Times New Roman" w:cs="Times New Roman"/>
          <w:sz w:val="28"/>
          <w:szCs w:val="28"/>
          <w:lang w:val="en-US"/>
        </w:rPr>
        <w:t>. </w:t>
      </w:r>
      <w:r w:rsidRPr="00D81782">
        <w:rPr>
          <w:rFonts w:ascii="Times New Roman" w:hAnsi="Times New Roman"/>
          <w:sz w:val="28"/>
          <w:szCs w:val="28"/>
          <w:lang w:val="uk-UA"/>
        </w:rPr>
        <w:t>Radchenko, N</w:t>
      </w:r>
      <w:r w:rsidR="00CF6C75" w:rsidRPr="00D81782">
        <w:rPr>
          <w:rFonts w:ascii="Times New Roman" w:hAnsi="Times New Roman" w:cs="Times New Roman"/>
          <w:sz w:val="28"/>
          <w:szCs w:val="28"/>
          <w:lang w:val="en-US"/>
        </w:rPr>
        <w:t>. </w:t>
      </w:r>
      <w:r w:rsidRPr="00D81782">
        <w:rPr>
          <w:rFonts w:ascii="Times New Roman" w:hAnsi="Times New Roman"/>
          <w:sz w:val="28"/>
          <w:szCs w:val="28"/>
          <w:lang w:val="uk-UA"/>
        </w:rPr>
        <w:t>Kotova, O</w:t>
      </w:r>
      <w:r w:rsidRPr="00D81782">
        <w:rPr>
          <w:rFonts w:ascii="Times New Roman" w:hAnsi="Times New Roman" w:cs="Times New Roman"/>
          <w:sz w:val="28"/>
          <w:szCs w:val="28"/>
          <w:lang w:val="en-US"/>
        </w:rPr>
        <w:t>. </w:t>
      </w:r>
      <w:r w:rsidRPr="00D81782">
        <w:rPr>
          <w:rFonts w:ascii="Times New Roman" w:hAnsi="Times New Roman"/>
          <w:sz w:val="28"/>
          <w:szCs w:val="28"/>
          <w:lang w:val="uk-UA"/>
        </w:rPr>
        <w:t>Tuboltsev, D</w:t>
      </w:r>
      <w:r w:rsidRPr="00D81782">
        <w:rPr>
          <w:rFonts w:ascii="Times New Roman" w:hAnsi="Times New Roman" w:cs="Times New Roman"/>
          <w:sz w:val="28"/>
          <w:szCs w:val="28"/>
          <w:lang w:val="en-US"/>
        </w:rPr>
        <w:t>. </w:t>
      </w:r>
      <w:r w:rsidRPr="00D81782">
        <w:rPr>
          <w:rFonts w:ascii="Times New Roman" w:hAnsi="Times New Roman"/>
          <w:sz w:val="28"/>
          <w:szCs w:val="28"/>
          <w:lang w:val="uk-UA"/>
        </w:rPr>
        <w:t>Kiosak, V</w:t>
      </w:r>
      <w:r w:rsidRPr="00D81782">
        <w:rPr>
          <w:rFonts w:ascii="Times New Roman" w:hAnsi="Times New Roman" w:cs="Times New Roman"/>
          <w:sz w:val="28"/>
          <w:szCs w:val="28"/>
          <w:lang w:val="en-US"/>
        </w:rPr>
        <w:t>. </w:t>
      </w:r>
      <w:r w:rsidRPr="00D81782">
        <w:rPr>
          <w:rFonts w:ascii="Times New Roman" w:hAnsi="Times New Roman"/>
          <w:sz w:val="28"/>
          <w:szCs w:val="28"/>
          <w:lang w:val="uk-UA"/>
        </w:rPr>
        <w:t>Jhos). The site, which preserves a continuous stratigraphic sequence spanning from the Early Mesolithic to the Late Eneolithic</w:t>
      </w:r>
      <w:r w:rsidR="00CF6C75" w:rsidRPr="00D81782">
        <w:rPr>
          <w:rFonts w:ascii="Times New Roman" w:hAnsi="Times New Roman"/>
          <w:sz w:val="28"/>
          <w:szCs w:val="28"/>
          <w:lang w:val="uk-UA"/>
        </w:rPr>
        <w:t xml:space="preserve"> </w:t>
      </w:r>
      <w:r w:rsidR="00CF6C75" w:rsidRPr="00D81782">
        <w:rPr>
          <w:rFonts w:ascii="Times New Roman" w:hAnsi="Times New Roman" w:cs="Times New Roman"/>
          <w:sz w:val="28"/>
          <w:szCs w:val="28"/>
          <w:lang w:val="en-US"/>
        </w:rPr>
        <w:t>–</w:t>
      </w:r>
      <w:r w:rsidR="00CF6C75" w:rsidRPr="00D81782">
        <w:rPr>
          <w:rFonts w:ascii="Times New Roman" w:hAnsi="Times New Roman" w:cs="Times New Roman"/>
          <w:sz w:val="28"/>
          <w:szCs w:val="28"/>
          <w:lang w:val="uk-UA"/>
        </w:rPr>
        <w:t xml:space="preserve"> </w:t>
      </w:r>
      <w:r w:rsidRPr="00D81782">
        <w:rPr>
          <w:rFonts w:ascii="Times New Roman" w:hAnsi="Times New Roman"/>
          <w:sz w:val="28"/>
          <w:szCs w:val="28"/>
          <w:lang w:val="uk-UA"/>
        </w:rPr>
        <w:t>a rarity for the steppe zone of Ukraine</w:t>
      </w:r>
      <w:r w:rsidR="00CF6C75" w:rsidRPr="00D81782">
        <w:rPr>
          <w:rFonts w:ascii="Times New Roman" w:hAnsi="Times New Roman"/>
          <w:sz w:val="28"/>
          <w:szCs w:val="28"/>
          <w:lang w:val="uk-UA"/>
        </w:rPr>
        <w:t xml:space="preserve"> </w:t>
      </w:r>
      <w:r w:rsidR="00CF6C75" w:rsidRPr="00D81782">
        <w:rPr>
          <w:rFonts w:ascii="Times New Roman" w:hAnsi="Times New Roman" w:cs="Times New Roman"/>
          <w:sz w:val="28"/>
          <w:szCs w:val="28"/>
          <w:lang w:val="en-US"/>
        </w:rPr>
        <w:t>–</w:t>
      </w:r>
      <w:r w:rsidR="00CF6C75" w:rsidRPr="00D81782">
        <w:rPr>
          <w:rFonts w:ascii="Times New Roman" w:hAnsi="Times New Roman" w:cs="Times New Roman"/>
          <w:sz w:val="28"/>
          <w:szCs w:val="28"/>
          <w:lang w:val="uk-UA"/>
        </w:rPr>
        <w:t xml:space="preserve"> </w:t>
      </w:r>
      <w:r w:rsidRPr="00D81782">
        <w:rPr>
          <w:rFonts w:ascii="Times New Roman" w:hAnsi="Times New Roman"/>
          <w:sz w:val="28"/>
          <w:szCs w:val="28"/>
          <w:lang w:val="uk-UA"/>
        </w:rPr>
        <w:t>has been studied for over 80 years by successive generations of archaeologists (O</w:t>
      </w:r>
      <w:r w:rsidR="00CF6C75" w:rsidRPr="00D81782">
        <w:rPr>
          <w:rFonts w:ascii="Times New Roman" w:hAnsi="Times New Roman" w:cs="Times New Roman"/>
          <w:sz w:val="28"/>
          <w:szCs w:val="28"/>
          <w:lang w:val="en-US"/>
        </w:rPr>
        <w:t>. </w:t>
      </w:r>
      <w:r w:rsidRPr="00D81782">
        <w:rPr>
          <w:rFonts w:ascii="Times New Roman" w:hAnsi="Times New Roman"/>
          <w:sz w:val="28"/>
          <w:szCs w:val="28"/>
          <w:lang w:val="uk-UA"/>
        </w:rPr>
        <w:t>Bader, V</w:t>
      </w:r>
      <w:r w:rsidR="00CF6C75" w:rsidRPr="00D81782">
        <w:rPr>
          <w:rFonts w:ascii="Times New Roman" w:hAnsi="Times New Roman" w:cs="Times New Roman"/>
          <w:sz w:val="28"/>
          <w:szCs w:val="28"/>
          <w:lang w:val="en-US"/>
        </w:rPr>
        <w:t>. </w:t>
      </w:r>
      <w:r w:rsidRPr="00D81782">
        <w:rPr>
          <w:rFonts w:ascii="Times New Roman" w:hAnsi="Times New Roman"/>
          <w:sz w:val="28"/>
          <w:szCs w:val="28"/>
          <w:lang w:val="uk-UA"/>
        </w:rPr>
        <w:t>Danylenko, D</w:t>
      </w:r>
      <w:r w:rsidR="00CF6C75" w:rsidRPr="00D81782">
        <w:rPr>
          <w:rFonts w:ascii="Times New Roman" w:hAnsi="Times New Roman" w:cs="Times New Roman"/>
          <w:sz w:val="28"/>
          <w:szCs w:val="28"/>
          <w:lang w:val="en-US"/>
        </w:rPr>
        <w:t>. </w:t>
      </w:r>
      <w:r w:rsidRPr="00D81782">
        <w:rPr>
          <w:rFonts w:ascii="Times New Roman" w:hAnsi="Times New Roman"/>
          <w:sz w:val="28"/>
          <w:szCs w:val="28"/>
          <w:lang w:val="uk-UA"/>
        </w:rPr>
        <w:t>Telehin, N</w:t>
      </w:r>
      <w:r w:rsidR="00CF6C75" w:rsidRPr="00D81782">
        <w:rPr>
          <w:rFonts w:ascii="Times New Roman" w:hAnsi="Times New Roman" w:cs="Times New Roman"/>
          <w:sz w:val="28"/>
          <w:szCs w:val="28"/>
          <w:lang w:val="en-US"/>
        </w:rPr>
        <w:t>. </w:t>
      </w:r>
      <w:r w:rsidRPr="00D81782">
        <w:rPr>
          <w:rFonts w:ascii="Times New Roman" w:hAnsi="Times New Roman"/>
          <w:sz w:val="28"/>
          <w:szCs w:val="28"/>
          <w:lang w:val="uk-UA"/>
        </w:rPr>
        <w:t xml:space="preserve">Kotova). These researchers employed varying topographic recording systems against a backdrop of significant man-made landscape alterations (specifically, the removal of topsoil by scrapers in </w:t>
      </w:r>
      <w:r w:rsidRPr="00D81782">
        <w:rPr>
          <w:rFonts w:ascii="Times New Roman" w:hAnsi="Times New Roman"/>
          <w:sz w:val="28"/>
          <w:szCs w:val="28"/>
          <w:lang w:val="uk-UA"/>
        </w:rPr>
        <w:lastRenderedPageBreak/>
        <w:t>1951). Integrating archival field plans, post-war aerial photography (1951), and a modern high-precision orthophotomap (generated via UAV in 2018 with a resolution of up to 4 cm) made it possible, for the first time, to consolidate all previous excavation areas into a unified orthogonal coordinate system, precisely referenced by elevation to a benchmark on the museum-reserve's façade. This spatial synthesis demonstrated that the sections documented by V</w:t>
      </w:r>
      <w:r w:rsidR="00CF6C75" w:rsidRPr="00D81782">
        <w:rPr>
          <w:rFonts w:ascii="Times New Roman" w:hAnsi="Times New Roman" w:cs="Times New Roman"/>
          <w:sz w:val="28"/>
          <w:szCs w:val="28"/>
          <w:lang w:val="en-US"/>
        </w:rPr>
        <w:t>. </w:t>
      </w:r>
      <w:r w:rsidRPr="00D81782">
        <w:rPr>
          <w:rFonts w:ascii="Times New Roman" w:hAnsi="Times New Roman"/>
          <w:sz w:val="28"/>
          <w:szCs w:val="28"/>
          <w:lang w:val="uk-UA"/>
        </w:rPr>
        <w:t>Danylenko in 1947 and D</w:t>
      </w:r>
      <w:r w:rsidR="00CF6C75" w:rsidRPr="00D81782">
        <w:rPr>
          <w:rFonts w:ascii="Times New Roman" w:hAnsi="Times New Roman" w:cs="Times New Roman"/>
          <w:sz w:val="28"/>
          <w:szCs w:val="28"/>
          <w:lang w:val="en-US"/>
        </w:rPr>
        <w:t>. </w:t>
      </w:r>
      <w:r w:rsidRPr="00D81782">
        <w:rPr>
          <w:rFonts w:ascii="Times New Roman" w:hAnsi="Times New Roman"/>
          <w:sz w:val="28"/>
          <w:szCs w:val="28"/>
          <w:lang w:val="uk-UA"/>
        </w:rPr>
        <w:t>Telehin in the 1980s actually represented adjacent or identical areas, thereby refuting hypotheses regarding their spatial separation and establishing a verified topographic basis for correlating Neolithic stratigraphic sequences in the steppe Azov region [6, pp. 68–71].</w:t>
      </w:r>
    </w:p>
    <w:p w:rsidR="00C60FAB" w:rsidRPr="00D81782" w:rsidRDefault="00C60FAB"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sz w:val="28"/>
          <w:szCs w:val="28"/>
          <w:lang w:val="uk-UA"/>
        </w:rPr>
        <w:t>Therefore, within modern methodology, it is appropriate to study Kamiana Mohyla using an interdisciplinary approach. The petroglyphs must be analyzed primarily within the contexts of archaeological stratigraphy, paleoecology, geomorphology, spatial analysis, and digital recording. 3D modeling, photogrammetry, GIS mapping, and high-precision digital documentation of surfaces bearing rock art are of particular importance.</w:t>
      </w:r>
    </w:p>
    <w:p w:rsidR="00C60FAB" w:rsidRPr="00D81782" w:rsidRDefault="00C60FAB"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sz w:val="28"/>
          <w:szCs w:val="28"/>
          <w:lang w:val="uk-UA"/>
        </w:rPr>
        <w:t>The chronological span of Kamiana Mohyla’s use extends from the Upper Paleolithic to the Middle Ages, making it an exceptional archive of visual sources. The complex comprises over 60 grottoes and caves (including the Mammoth, Bull, Goat, and Dragon grottoes, the Sorcerer’s Cave, etc.), with thousands of petroglyphs recorded on their stone slabs. Systematic field research conducted by V</w:t>
      </w:r>
      <w:r w:rsidR="00CF6C75" w:rsidRPr="00D81782">
        <w:rPr>
          <w:rFonts w:ascii="Times New Roman" w:hAnsi="Times New Roman" w:cs="Times New Roman"/>
          <w:sz w:val="28"/>
          <w:szCs w:val="28"/>
          <w:lang w:val="en-US"/>
        </w:rPr>
        <w:t>. </w:t>
      </w:r>
      <w:r w:rsidRPr="00D81782">
        <w:rPr>
          <w:rFonts w:ascii="Times New Roman" w:hAnsi="Times New Roman"/>
          <w:sz w:val="28"/>
          <w:szCs w:val="28"/>
          <w:lang w:val="uk-UA"/>
        </w:rPr>
        <w:t>Danylenko, O</w:t>
      </w:r>
      <w:r w:rsidR="00CF6C75" w:rsidRPr="00D81782">
        <w:rPr>
          <w:rFonts w:ascii="Times New Roman" w:hAnsi="Times New Roman" w:cs="Times New Roman"/>
          <w:sz w:val="28"/>
          <w:szCs w:val="28"/>
          <w:lang w:val="en-US"/>
        </w:rPr>
        <w:t>. </w:t>
      </w:r>
      <w:r w:rsidRPr="00D81782">
        <w:rPr>
          <w:rFonts w:ascii="Times New Roman" w:hAnsi="Times New Roman"/>
          <w:sz w:val="28"/>
          <w:szCs w:val="28"/>
          <w:lang w:val="uk-UA"/>
        </w:rPr>
        <w:t>Bader, V</w:t>
      </w:r>
      <w:r w:rsidR="00CF6C75" w:rsidRPr="00D81782">
        <w:rPr>
          <w:rFonts w:ascii="Times New Roman" w:hAnsi="Times New Roman" w:cs="Times New Roman"/>
          <w:sz w:val="28"/>
          <w:szCs w:val="28"/>
          <w:lang w:val="en-US"/>
        </w:rPr>
        <w:t>. </w:t>
      </w:r>
      <w:r w:rsidRPr="00D81782">
        <w:rPr>
          <w:rFonts w:ascii="Times New Roman" w:hAnsi="Times New Roman"/>
          <w:sz w:val="28"/>
          <w:szCs w:val="28"/>
          <w:lang w:val="uk-UA"/>
        </w:rPr>
        <w:t>Hladylin, and later by B</w:t>
      </w:r>
      <w:r w:rsidR="00CF6C75" w:rsidRPr="00D81782">
        <w:rPr>
          <w:rFonts w:ascii="Times New Roman" w:hAnsi="Times New Roman" w:cs="Times New Roman"/>
          <w:sz w:val="28"/>
          <w:szCs w:val="28"/>
          <w:lang w:val="en-US"/>
        </w:rPr>
        <w:t>. </w:t>
      </w:r>
      <w:r w:rsidRPr="00D81782">
        <w:rPr>
          <w:rFonts w:ascii="Times New Roman" w:hAnsi="Times New Roman"/>
          <w:sz w:val="28"/>
          <w:szCs w:val="28"/>
          <w:lang w:val="uk-UA"/>
        </w:rPr>
        <w:t>Mykhailov has made it possible to trace the evolution of the ancient population's figurative thinking</w:t>
      </w:r>
      <w:r w:rsidR="00CF6C75" w:rsidRPr="00D81782">
        <w:rPr>
          <w:rFonts w:ascii="Times New Roman" w:hAnsi="Times New Roman"/>
          <w:sz w:val="28"/>
          <w:szCs w:val="28"/>
          <w:lang w:val="uk-UA"/>
        </w:rPr>
        <w:t xml:space="preserve"> </w:t>
      </w:r>
      <w:r w:rsidR="00CF6C75" w:rsidRPr="00D81782">
        <w:rPr>
          <w:rFonts w:ascii="Times New Roman" w:hAnsi="Times New Roman" w:cs="Times New Roman"/>
          <w:sz w:val="28"/>
          <w:szCs w:val="28"/>
          <w:lang w:val="en-US"/>
        </w:rPr>
        <w:t>–</w:t>
      </w:r>
      <w:r w:rsidR="00CF6C75" w:rsidRPr="00D81782">
        <w:rPr>
          <w:rFonts w:ascii="Times New Roman" w:hAnsi="Times New Roman" w:cs="Times New Roman"/>
          <w:sz w:val="28"/>
          <w:szCs w:val="28"/>
          <w:lang w:val="uk-UA"/>
        </w:rPr>
        <w:t xml:space="preserve"> </w:t>
      </w:r>
      <w:r w:rsidRPr="00D81782">
        <w:rPr>
          <w:rFonts w:ascii="Times New Roman" w:hAnsi="Times New Roman"/>
          <w:sz w:val="28"/>
          <w:szCs w:val="28"/>
          <w:lang w:val="uk-UA"/>
        </w:rPr>
        <w:t>moving from the zoomorphic compositions of the Paleolithic and Mesolithic eras, through the geometric-ornamental patterns of the Neolithic and Bronze Ages (solar symbols, plowing scenes, depictions of carts and draft tea</w:t>
      </w:r>
      <w:r w:rsidR="00CF6C75" w:rsidRPr="00D81782">
        <w:rPr>
          <w:rFonts w:ascii="Times New Roman" w:hAnsi="Times New Roman"/>
          <w:sz w:val="28"/>
          <w:szCs w:val="28"/>
          <w:lang w:val="uk-UA"/>
        </w:rPr>
        <w:t>ms), to the tamga</w:t>
      </w:r>
      <w:r w:rsidRPr="00D81782">
        <w:rPr>
          <w:rFonts w:ascii="Times New Roman" w:hAnsi="Times New Roman"/>
          <w:sz w:val="28"/>
          <w:szCs w:val="28"/>
          <w:lang w:val="uk-UA"/>
        </w:rPr>
        <w:t>-like signs of nomadic peoples from the Early Iron Age and the medieval period [5, pp. 42–58]. Within the chronological stratigraphy of the "Kamiana Mohyla" petroglyphs, a special place is held by monuments representing the symbolic tradition of nom</w:t>
      </w:r>
      <w:r w:rsidR="00CF6C75" w:rsidRPr="00D81782">
        <w:rPr>
          <w:rFonts w:ascii="Times New Roman" w:hAnsi="Times New Roman"/>
          <w:sz w:val="28"/>
          <w:szCs w:val="28"/>
          <w:lang w:val="uk-UA"/>
        </w:rPr>
        <w:t xml:space="preserve">adic populations </w:t>
      </w:r>
      <w:r w:rsidR="00CF6C75" w:rsidRPr="00D81782">
        <w:rPr>
          <w:rFonts w:ascii="Times New Roman" w:hAnsi="Times New Roman" w:cs="Times New Roman"/>
          <w:sz w:val="28"/>
          <w:szCs w:val="28"/>
          <w:lang w:val="en-US"/>
        </w:rPr>
        <w:t>–</w:t>
      </w:r>
      <w:r w:rsidR="00CF6C75" w:rsidRPr="00D81782">
        <w:rPr>
          <w:rFonts w:ascii="Times New Roman" w:hAnsi="Times New Roman" w:cs="Times New Roman"/>
          <w:sz w:val="28"/>
          <w:szCs w:val="28"/>
          <w:lang w:val="uk-UA"/>
        </w:rPr>
        <w:t xml:space="preserve"> </w:t>
      </w:r>
      <w:r w:rsidR="00CF6C75" w:rsidRPr="00D81782">
        <w:rPr>
          <w:rFonts w:ascii="Times New Roman" w:hAnsi="Times New Roman"/>
          <w:sz w:val="28"/>
          <w:szCs w:val="28"/>
          <w:lang w:val="uk-UA"/>
        </w:rPr>
        <w:t>specifically, tamga</w:t>
      </w:r>
      <w:r w:rsidRPr="00D81782">
        <w:rPr>
          <w:rFonts w:ascii="Times New Roman" w:hAnsi="Times New Roman"/>
          <w:sz w:val="28"/>
          <w:szCs w:val="28"/>
          <w:lang w:val="uk-UA"/>
        </w:rPr>
        <w:t xml:space="preserve">-like signs dating from the Early Iron Age and the </w:t>
      </w:r>
      <w:r w:rsidRPr="00D81782">
        <w:rPr>
          <w:rFonts w:ascii="Times New Roman" w:hAnsi="Times New Roman"/>
          <w:sz w:val="28"/>
          <w:szCs w:val="28"/>
          <w:lang w:val="uk-UA"/>
        </w:rPr>
        <w:lastRenderedPageBreak/>
        <w:t>Middle Ages. Unlike the narrative zoomorphic composit</w:t>
      </w:r>
      <w:r w:rsidR="00CF6C75" w:rsidRPr="00D81782">
        <w:rPr>
          <w:rFonts w:ascii="Times New Roman" w:hAnsi="Times New Roman"/>
          <w:sz w:val="28"/>
          <w:szCs w:val="28"/>
          <w:lang w:val="uk-UA"/>
        </w:rPr>
        <w:t>ions of earlier epochs, tamgas</w:t>
      </w:r>
      <w:r w:rsidRPr="00D81782">
        <w:rPr>
          <w:rFonts w:ascii="Times New Roman" w:hAnsi="Times New Roman"/>
          <w:sz w:val="28"/>
          <w:szCs w:val="28"/>
          <w:lang w:val="uk-UA"/>
        </w:rPr>
        <w:t xml:space="preserve"> consist of concise, abstract-geometric designs (combinations of circles, crescents, rhombi, and crosses featuring additional linear offshoots and loops). During the Sarmatian period and the era of early medieval Turkic nomads, these symbols served as clan marks, indicators of social prestige, and markers of personal identity for the nobility [5, pp. 182–189]. The application of </w:t>
      </w:r>
      <w:r w:rsidR="00CF6C75" w:rsidRPr="00D81782">
        <w:rPr>
          <w:rFonts w:ascii="Times New Roman" w:hAnsi="Times New Roman"/>
          <w:sz w:val="28"/>
          <w:szCs w:val="28"/>
          <w:lang w:val="uk-UA"/>
        </w:rPr>
        <w:t>tamgas</w:t>
      </w:r>
      <w:r w:rsidRPr="00D81782">
        <w:rPr>
          <w:rFonts w:ascii="Times New Roman" w:hAnsi="Times New Roman"/>
          <w:sz w:val="28"/>
          <w:szCs w:val="28"/>
          <w:lang w:val="uk-UA"/>
        </w:rPr>
        <w:t xml:space="preserve"> over older layers of rock art documents the process of symbolic reappropriation of this sacred center by steppe communities; it reflects the integration of the natural rock formation into their system of territorial control, the marking of seasonal migration routes, and the assertion of rights to the surrounding water resources of the Azov region.</w:t>
      </w:r>
    </w:p>
    <w:p w:rsidR="00C60FAB" w:rsidRPr="00D81782" w:rsidRDefault="00C60FAB"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sz w:val="28"/>
          <w:szCs w:val="28"/>
          <w:lang w:val="uk-UA"/>
        </w:rPr>
        <w:t>The exceptional importance of the Melitopol area for the study of the prehistoric history of the Northern Azov region stems from the region's role in the process of neolithization</w:t>
      </w:r>
      <w:r w:rsidR="00CF6C75" w:rsidRPr="00D81782">
        <w:rPr>
          <w:rFonts w:ascii="Times New Roman" w:hAnsi="Times New Roman"/>
          <w:sz w:val="28"/>
          <w:szCs w:val="28"/>
          <w:lang w:val="uk-UA"/>
        </w:rPr>
        <w:t xml:space="preserve"> </w:t>
      </w:r>
      <w:r w:rsidR="00CF6C75" w:rsidRPr="00D81782">
        <w:rPr>
          <w:rFonts w:ascii="Times New Roman" w:hAnsi="Times New Roman" w:cs="Times New Roman"/>
          <w:sz w:val="28"/>
          <w:szCs w:val="28"/>
          <w:lang w:val="en-US"/>
        </w:rPr>
        <w:t>–</w:t>
      </w:r>
      <w:r w:rsidR="00CF6C75" w:rsidRPr="00D81782">
        <w:rPr>
          <w:rFonts w:ascii="Times New Roman" w:hAnsi="Times New Roman" w:cs="Times New Roman"/>
          <w:sz w:val="28"/>
          <w:szCs w:val="28"/>
          <w:lang w:val="uk-UA"/>
        </w:rPr>
        <w:t xml:space="preserve"> </w:t>
      </w:r>
      <w:r w:rsidRPr="00D81782">
        <w:rPr>
          <w:rFonts w:ascii="Times New Roman" w:hAnsi="Times New Roman"/>
          <w:sz w:val="28"/>
          <w:szCs w:val="28"/>
          <w:lang w:val="uk-UA"/>
        </w:rPr>
        <w:t>the transition from an appropriative economy to early pastoralism. The steppe plant community of the Molochna River valley, characterized by a long growing season and minimal snow cover, created optimal natural and ecological conditions for the year-round grazing of livestock, eliminating the need for stall-based housing. Osteological collections and ceramic assemblages associated with the Sura and Azov-Dnieper cultures (5th–4th millennia BC)</w:t>
      </w:r>
      <w:r w:rsidR="00CF6C75" w:rsidRPr="00D81782">
        <w:rPr>
          <w:rFonts w:ascii="Times New Roman" w:hAnsi="Times New Roman"/>
          <w:sz w:val="28"/>
          <w:szCs w:val="28"/>
          <w:lang w:val="uk-UA"/>
        </w:rPr>
        <w:t xml:space="preserve"> </w:t>
      </w:r>
      <w:r w:rsidR="00CF6C75" w:rsidRPr="00D81782">
        <w:rPr>
          <w:rFonts w:ascii="Times New Roman" w:hAnsi="Times New Roman" w:cs="Times New Roman"/>
          <w:sz w:val="28"/>
          <w:szCs w:val="28"/>
          <w:lang w:val="en-US"/>
        </w:rPr>
        <w:t>–</w:t>
      </w:r>
      <w:r w:rsidR="00CF6C75" w:rsidRPr="00D81782">
        <w:rPr>
          <w:rFonts w:ascii="Times New Roman" w:hAnsi="Times New Roman" w:cs="Times New Roman"/>
          <w:sz w:val="28"/>
          <w:szCs w:val="28"/>
          <w:lang w:val="uk-UA"/>
        </w:rPr>
        <w:t xml:space="preserve"> </w:t>
      </w:r>
      <w:r w:rsidRPr="00D81782">
        <w:rPr>
          <w:rFonts w:ascii="Times New Roman" w:hAnsi="Times New Roman"/>
          <w:sz w:val="28"/>
          <w:szCs w:val="28"/>
          <w:lang w:val="uk-UA"/>
        </w:rPr>
        <w:t>studied by N</w:t>
      </w:r>
      <w:r w:rsidR="00CF6C75" w:rsidRPr="00D81782">
        <w:rPr>
          <w:rFonts w:ascii="Times New Roman" w:hAnsi="Times New Roman" w:cs="Times New Roman"/>
          <w:sz w:val="28"/>
          <w:szCs w:val="28"/>
          <w:lang w:val="en-US"/>
        </w:rPr>
        <w:t>. </w:t>
      </w:r>
      <w:r w:rsidRPr="00D81782">
        <w:rPr>
          <w:rFonts w:ascii="Times New Roman" w:hAnsi="Times New Roman"/>
          <w:sz w:val="28"/>
          <w:szCs w:val="28"/>
          <w:lang w:val="uk-UA"/>
        </w:rPr>
        <w:t>Kotova and O</w:t>
      </w:r>
      <w:r w:rsidR="00CF6C75" w:rsidRPr="00D81782">
        <w:rPr>
          <w:rFonts w:ascii="Times New Roman" w:hAnsi="Times New Roman" w:cs="Times New Roman"/>
          <w:sz w:val="28"/>
          <w:szCs w:val="28"/>
          <w:lang w:val="en-US"/>
        </w:rPr>
        <w:t>. </w:t>
      </w:r>
      <w:r w:rsidRPr="00D81782">
        <w:rPr>
          <w:rFonts w:ascii="Times New Roman" w:hAnsi="Times New Roman"/>
          <w:sz w:val="28"/>
          <w:szCs w:val="28"/>
          <w:lang w:val="uk-UA"/>
        </w:rPr>
        <w:t>Tuboltsev</w:t>
      </w:r>
      <w:r w:rsidR="00CF6C75" w:rsidRPr="00D81782">
        <w:rPr>
          <w:rFonts w:ascii="Times New Roman" w:hAnsi="Times New Roman"/>
          <w:sz w:val="28"/>
          <w:szCs w:val="28"/>
          <w:lang w:val="uk-UA"/>
        </w:rPr>
        <w:t xml:space="preserve"> </w:t>
      </w:r>
      <w:r w:rsidR="00CF6C75" w:rsidRPr="00D81782">
        <w:rPr>
          <w:rFonts w:ascii="Times New Roman" w:hAnsi="Times New Roman" w:cs="Times New Roman"/>
          <w:sz w:val="28"/>
          <w:szCs w:val="28"/>
          <w:lang w:val="en-US"/>
        </w:rPr>
        <w:t>–</w:t>
      </w:r>
      <w:r w:rsidR="00CF6C75" w:rsidRPr="00D81782">
        <w:rPr>
          <w:rFonts w:ascii="Times New Roman" w:hAnsi="Times New Roman" w:cs="Times New Roman"/>
          <w:sz w:val="28"/>
          <w:szCs w:val="28"/>
          <w:lang w:val="uk-UA"/>
        </w:rPr>
        <w:t xml:space="preserve"> </w:t>
      </w:r>
      <w:r w:rsidRPr="00D81782">
        <w:rPr>
          <w:rFonts w:ascii="Times New Roman" w:hAnsi="Times New Roman"/>
          <w:sz w:val="28"/>
          <w:szCs w:val="28"/>
          <w:lang w:val="uk-UA"/>
        </w:rPr>
        <w:t>provide archaeological evidence for the emergence and evolution of animal husbandry in the region. In particular, materials from Neolithic settlements in the Molochna River basin</w:t>
      </w:r>
      <w:r w:rsidR="00CF6C75" w:rsidRPr="00D81782">
        <w:rPr>
          <w:rFonts w:ascii="Times New Roman" w:hAnsi="Times New Roman"/>
          <w:sz w:val="28"/>
          <w:szCs w:val="28"/>
          <w:lang w:val="uk-UA"/>
        </w:rPr>
        <w:t xml:space="preserve"> </w:t>
      </w:r>
      <w:r w:rsidR="00CF6C75" w:rsidRPr="00D81782">
        <w:rPr>
          <w:rFonts w:ascii="Times New Roman" w:hAnsi="Times New Roman" w:cs="Times New Roman"/>
          <w:sz w:val="28"/>
          <w:szCs w:val="28"/>
          <w:lang w:val="en-US"/>
        </w:rPr>
        <w:t>–</w:t>
      </w:r>
      <w:r w:rsidR="00CF6C75" w:rsidRPr="00D81782">
        <w:rPr>
          <w:rFonts w:ascii="Times New Roman" w:hAnsi="Times New Roman" w:cs="Times New Roman"/>
          <w:sz w:val="28"/>
          <w:szCs w:val="28"/>
          <w:lang w:val="uk-UA"/>
        </w:rPr>
        <w:t xml:space="preserve"> </w:t>
      </w:r>
      <w:r w:rsidRPr="00D81782">
        <w:rPr>
          <w:rFonts w:ascii="Times New Roman" w:hAnsi="Times New Roman"/>
          <w:sz w:val="28"/>
          <w:szCs w:val="28"/>
          <w:lang w:val="uk-UA"/>
        </w:rPr>
        <w:t>specifically "Kamiana Mohyla-1" and "Semenivka"</w:t>
      </w:r>
      <w:r w:rsidR="00CF6C75" w:rsidRPr="00D81782">
        <w:rPr>
          <w:rFonts w:ascii="Times New Roman" w:hAnsi="Times New Roman"/>
          <w:sz w:val="28"/>
          <w:szCs w:val="28"/>
          <w:lang w:val="uk-UA"/>
        </w:rPr>
        <w:t xml:space="preserve"> </w:t>
      </w:r>
      <w:r w:rsidR="00CF6C75" w:rsidRPr="00D81782">
        <w:rPr>
          <w:rFonts w:ascii="Times New Roman" w:hAnsi="Times New Roman" w:cs="Times New Roman"/>
          <w:sz w:val="28"/>
          <w:szCs w:val="28"/>
          <w:lang w:val="en-US"/>
        </w:rPr>
        <w:t>–</w:t>
      </w:r>
      <w:r w:rsidR="00CF6C75" w:rsidRPr="00D81782">
        <w:rPr>
          <w:rFonts w:ascii="Times New Roman" w:hAnsi="Times New Roman" w:cs="Times New Roman"/>
          <w:sz w:val="28"/>
          <w:szCs w:val="28"/>
          <w:lang w:val="uk-UA"/>
        </w:rPr>
        <w:t xml:space="preserve"> </w:t>
      </w:r>
      <w:r w:rsidRPr="00D81782">
        <w:rPr>
          <w:rFonts w:ascii="Times New Roman" w:hAnsi="Times New Roman"/>
          <w:sz w:val="28"/>
          <w:szCs w:val="28"/>
          <w:lang w:val="uk-UA"/>
        </w:rPr>
        <w:t>document a step-by-step shift in herd composition and subsistence strategies. Analysis of the stratified layers at key regional s</w:t>
      </w:r>
      <w:r w:rsidR="00CF6C75" w:rsidRPr="00D81782">
        <w:rPr>
          <w:rFonts w:ascii="Times New Roman" w:hAnsi="Times New Roman"/>
          <w:sz w:val="28"/>
          <w:szCs w:val="28"/>
          <w:lang w:val="uk-UA"/>
        </w:rPr>
        <w:t>ites, notably "Kamiana Mohyla-1</w:t>
      </w:r>
      <w:r w:rsidRPr="00D81782">
        <w:rPr>
          <w:rFonts w:ascii="Times New Roman" w:hAnsi="Times New Roman"/>
          <w:sz w:val="28"/>
          <w:szCs w:val="28"/>
          <w:lang w:val="uk-UA"/>
        </w:rPr>
        <w:t>"</w:t>
      </w:r>
      <w:r w:rsidR="00CF6C75" w:rsidRPr="00D81782">
        <w:rPr>
          <w:rFonts w:ascii="Times New Roman" w:hAnsi="Times New Roman"/>
          <w:sz w:val="28"/>
          <w:szCs w:val="28"/>
          <w:lang w:val="uk-UA"/>
        </w:rPr>
        <w:t>,</w:t>
      </w:r>
      <w:r w:rsidRPr="00D81782">
        <w:rPr>
          <w:rFonts w:ascii="Times New Roman" w:hAnsi="Times New Roman"/>
          <w:sz w:val="28"/>
          <w:szCs w:val="28"/>
          <w:lang w:val="uk-UA"/>
        </w:rPr>
        <w:t xml:space="preserve"> made it possible to trace the gradual transformation of herd structure: from an initial reliance on hunting and fishing to the clear predominance of cattle and small ruminants in the meat diet, a shift that marked the consolidation of a distinct steppe-based economic system [4, pp. 114–121].</w:t>
      </w:r>
    </w:p>
    <w:p w:rsidR="00C60FAB" w:rsidRPr="00D81782" w:rsidRDefault="00C60FAB"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sz w:val="28"/>
          <w:szCs w:val="28"/>
          <w:lang w:val="uk-UA"/>
        </w:rPr>
        <w:t xml:space="preserve">The Sura horizon of the second half of the 5th millennium BC is characterized by the appearance of the first reliable evidence of cattle and pig husbandry, although fishing and the hunting of aurochs, wisent, and red deer continued to play a </w:t>
      </w:r>
      <w:r w:rsidRPr="00D81782">
        <w:rPr>
          <w:rFonts w:ascii="Times New Roman" w:hAnsi="Times New Roman"/>
          <w:sz w:val="28"/>
          <w:szCs w:val="28"/>
          <w:lang w:val="uk-UA"/>
        </w:rPr>
        <w:lastRenderedPageBreak/>
        <w:t>significant role in the economic balance. In contrast, the Azov-Dnieper stage</w:t>
      </w:r>
      <w:r w:rsidR="00CF6C75" w:rsidRPr="00D81782">
        <w:rPr>
          <w:rFonts w:ascii="Times New Roman" w:hAnsi="Times New Roman"/>
          <w:sz w:val="28"/>
          <w:szCs w:val="28"/>
          <w:lang w:val="uk-UA"/>
        </w:rPr>
        <w:t xml:space="preserve"> </w:t>
      </w:r>
      <w:r w:rsidR="00CF6C75" w:rsidRPr="00D81782">
        <w:rPr>
          <w:rFonts w:ascii="Times New Roman" w:hAnsi="Times New Roman" w:cs="Times New Roman"/>
          <w:sz w:val="28"/>
          <w:szCs w:val="28"/>
          <w:lang w:val="en-US"/>
        </w:rPr>
        <w:t>–</w:t>
      </w:r>
      <w:r w:rsidRPr="00D81782">
        <w:rPr>
          <w:rFonts w:ascii="Times New Roman" w:hAnsi="Times New Roman"/>
          <w:sz w:val="28"/>
          <w:szCs w:val="28"/>
          <w:lang w:val="uk-UA"/>
        </w:rPr>
        <w:t>spanning the late 5th to the first half of the 4th millennium BC</w:t>
      </w:r>
      <w:r w:rsidR="00CF6C75" w:rsidRPr="00D81782">
        <w:rPr>
          <w:rFonts w:ascii="Times New Roman" w:hAnsi="Times New Roman"/>
          <w:sz w:val="28"/>
          <w:szCs w:val="28"/>
          <w:lang w:val="uk-UA"/>
        </w:rPr>
        <w:t xml:space="preserve"> </w:t>
      </w:r>
      <w:r w:rsidR="00CF6C75" w:rsidRPr="00D81782">
        <w:rPr>
          <w:rFonts w:ascii="Times New Roman" w:hAnsi="Times New Roman" w:cs="Times New Roman"/>
          <w:sz w:val="28"/>
          <w:szCs w:val="28"/>
          <w:lang w:val="en-US"/>
        </w:rPr>
        <w:t>–</w:t>
      </w:r>
      <w:r w:rsidR="00CF6C75" w:rsidRPr="00D81782">
        <w:rPr>
          <w:rFonts w:ascii="Times New Roman" w:hAnsi="Times New Roman" w:cs="Times New Roman"/>
          <w:sz w:val="28"/>
          <w:szCs w:val="28"/>
          <w:lang w:val="uk-UA"/>
        </w:rPr>
        <w:t xml:space="preserve"> </w:t>
      </w:r>
      <w:r w:rsidRPr="00D81782">
        <w:rPr>
          <w:rFonts w:ascii="Times New Roman" w:hAnsi="Times New Roman"/>
          <w:sz w:val="28"/>
          <w:szCs w:val="28"/>
          <w:lang w:val="uk-UA"/>
        </w:rPr>
        <w:t>marks the definitive establishment of a productive pastoral economy. Faunal remains from this period indicate that livestock farming supplied between 70% and 90% of the population's meat diet; herd composition shows a distinct predominance of cattle and small ruminants alongside the raising of pigs and dogs, while the transition from the Neolithic to the Eneolithic saw the first evidence of the horse assuming a leading economic role [3, p. 13].</w:t>
      </w:r>
    </w:p>
    <w:p w:rsidR="00C60FAB" w:rsidRPr="00D81782" w:rsidRDefault="00C60FAB"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sz w:val="28"/>
          <w:szCs w:val="28"/>
          <w:lang w:val="uk-UA"/>
        </w:rPr>
        <w:t>The archaeological value of Kamiana Mohyla lies not only in its petroglyph complex but also in the stratified settlements and sacrificial sites located around the stone outcrop and within its recesses. Flint assemblages associated with the Kukrek and Kamiana Mohyla Mesolithic cultures, Dnieper-Donets Neolithic pottery, materials from the Yamna, Catacomb, and Srubna cultures, and finds from the Scythian-Sarmatian period serve as chronological anchors for dating the corresponding layers of rock art [2, pp. 74–89]. The site served as an inter-tribal sacred center that regulated the spatial and symbolic organization of the Molochna River valley for millennia. Thus, "Kamiana Mohyla" is a key site defining the unique archaeological heritage of the Melitopol region. Its significance extends far beyond local archaeology, as the site serves as a vital source for studying ancient history, spiritual culture, and the symbolic interpretation of the steppe landscape of the Northern Sea of ​​Azov region.</w:t>
      </w:r>
    </w:p>
    <w:p w:rsidR="00C60FAB" w:rsidRPr="00D81782" w:rsidRDefault="00C60FAB"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sz w:val="28"/>
          <w:szCs w:val="28"/>
          <w:lang w:val="uk-UA"/>
        </w:rPr>
        <w:t>Currently, the reserve is located in a temporarily occupied territory, a fact officially acknowledged by the Ministry of Culture of Ukraine. The site's current status highlights not only its scientific value but also the need to document its condition, monitor it, ensure its digital preservation, and record any potential damage or illicit interference. The Ukrainian registry of cultural heritage violations also documents the illegal removal of museum collections from the reserve.</w:t>
      </w:r>
    </w:p>
    <w:p w:rsidR="00C60FAB" w:rsidRPr="00D81782" w:rsidRDefault="00C60FAB"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sz w:val="28"/>
          <w:szCs w:val="28"/>
          <w:lang w:val="uk-UA"/>
        </w:rPr>
        <w:t>The "Suppert Zone" (or "Suppert site") is located on the outskirts of Melitopol, at the site of a probable "Royal Scythian necropolis." Back in 1992–1993, engineer Valentyn Suppert</w:t>
      </w:r>
      <w:r w:rsidR="00CF6C75" w:rsidRPr="00D81782">
        <w:rPr>
          <w:rFonts w:ascii="Times New Roman" w:hAnsi="Times New Roman"/>
          <w:sz w:val="28"/>
          <w:szCs w:val="28"/>
          <w:lang w:val="uk-UA"/>
        </w:rPr>
        <w:t xml:space="preserve"> </w:t>
      </w:r>
      <w:r w:rsidR="00CF6C75" w:rsidRPr="00D81782">
        <w:rPr>
          <w:rFonts w:ascii="Times New Roman" w:hAnsi="Times New Roman" w:cs="Times New Roman"/>
          <w:sz w:val="28"/>
          <w:szCs w:val="28"/>
          <w:lang w:val="en-US"/>
        </w:rPr>
        <w:t>–</w:t>
      </w:r>
      <w:r w:rsidR="00CF6C75" w:rsidRPr="00D81782">
        <w:rPr>
          <w:rFonts w:ascii="Times New Roman" w:hAnsi="Times New Roman" w:cs="Times New Roman"/>
          <w:sz w:val="28"/>
          <w:szCs w:val="28"/>
          <w:lang w:val="uk-UA"/>
        </w:rPr>
        <w:t xml:space="preserve"> </w:t>
      </w:r>
      <w:r w:rsidRPr="00D81782">
        <w:rPr>
          <w:rFonts w:ascii="Times New Roman" w:hAnsi="Times New Roman"/>
          <w:sz w:val="28"/>
          <w:szCs w:val="28"/>
          <w:lang w:val="uk-UA"/>
        </w:rPr>
        <w:t>who had mastered the technique of dowsing (radiesthesia)</w:t>
      </w:r>
      <w:r w:rsidR="00CF6C75" w:rsidRPr="00D81782">
        <w:rPr>
          <w:rFonts w:ascii="Times New Roman" w:hAnsi="Times New Roman"/>
          <w:sz w:val="28"/>
          <w:szCs w:val="28"/>
          <w:lang w:val="uk-UA"/>
        </w:rPr>
        <w:t xml:space="preserve"> </w:t>
      </w:r>
      <w:r w:rsidR="00CF6C75" w:rsidRPr="00D81782">
        <w:rPr>
          <w:rFonts w:ascii="Times New Roman" w:hAnsi="Times New Roman" w:cs="Times New Roman"/>
          <w:sz w:val="28"/>
          <w:szCs w:val="28"/>
          <w:lang w:val="en-US"/>
        </w:rPr>
        <w:t>–</w:t>
      </w:r>
      <w:r w:rsidRPr="00D81782">
        <w:rPr>
          <w:rFonts w:ascii="Times New Roman" w:hAnsi="Times New Roman"/>
          <w:sz w:val="28"/>
          <w:szCs w:val="28"/>
          <w:lang w:val="uk-UA"/>
        </w:rPr>
        <w:lastRenderedPageBreak/>
        <w:t>discovered underground voids with precise geometric outlines in the area. The researcher approached the director of a nearby state farm with an unusual request: permission to drill a borehole in the apple orchard. Indications pointed to a network of interconnected passages, rectangular halls, and corridors</w:t>
      </w:r>
      <w:r w:rsidR="00CF6C75" w:rsidRPr="00D81782">
        <w:rPr>
          <w:rFonts w:ascii="Times New Roman" w:hAnsi="Times New Roman"/>
          <w:sz w:val="28"/>
          <w:szCs w:val="28"/>
          <w:lang w:val="uk-UA"/>
        </w:rPr>
        <w:t xml:space="preserve"> </w:t>
      </w:r>
      <w:r w:rsidR="00CF6C75" w:rsidRPr="00D81782">
        <w:rPr>
          <w:rFonts w:ascii="Times New Roman" w:hAnsi="Times New Roman" w:cs="Times New Roman"/>
          <w:sz w:val="28"/>
          <w:szCs w:val="28"/>
          <w:lang w:val="en-US"/>
        </w:rPr>
        <w:t>–</w:t>
      </w:r>
      <w:r w:rsidR="00CF6C75" w:rsidRPr="00D81782">
        <w:rPr>
          <w:rFonts w:ascii="Times New Roman" w:hAnsi="Times New Roman" w:cs="Times New Roman"/>
          <w:sz w:val="28"/>
          <w:szCs w:val="28"/>
          <w:lang w:val="uk-UA"/>
        </w:rPr>
        <w:t xml:space="preserve"> </w:t>
      </w:r>
      <w:r w:rsidRPr="00D81782">
        <w:rPr>
          <w:rFonts w:ascii="Times New Roman" w:hAnsi="Times New Roman"/>
          <w:sz w:val="28"/>
          <w:szCs w:val="28"/>
          <w:lang w:val="uk-UA"/>
        </w:rPr>
        <w:t>fragments of a massive underground temple complex. Most intriguingly, there were signs of vast underground masses of metal! The engineer was convinced that this was nothing other than gold. However, he failed to penetrate the underground chambers</w:t>
      </w:r>
      <w:r w:rsidR="00CF6C75" w:rsidRPr="00D81782">
        <w:rPr>
          <w:rFonts w:ascii="Times New Roman" w:hAnsi="Times New Roman"/>
          <w:sz w:val="28"/>
          <w:szCs w:val="28"/>
          <w:lang w:val="uk-UA"/>
        </w:rPr>
        <w:t xml:space="preserve"> </w:t>
      </w:r>
      <w:r w:rsidR="00CF6C75" w:rsidRPr="00D81782">
        <w:rPr>
          <w:rFonts w:ascii="Times New Roman" w:hAnsi="Times New Roman" w:cs="Times New Roman"/>
          <w:sz w:val="28"/>
          <w:szCs w:val="28"/>
          <w:lang w:val="en-US"/>
        </w:rPr>
        <w:t>–</w:t>
      </w:r>
      <w:r w:rsidR="00CF6C75" w:rsidRPr="00D81782">
        <w:rPr>
          <w:rFonts w:ascii="Times New Roman" w:hAnsi="Times New Roman" w:cs="Times New Roman"/>
          <w:sz w:val="28"/>
          <w:szCs w:val="28"/>
          <w:lang w:val="uk-UA"/>
        </w:rPr>
        <w:t xml:space="preserve"> </w:t>
      </w:r>
      <w:r w:rsidRPr="00D81782">
        <w:rPr>
          <w:rFonts w:ascii="Times New Roman" w:hAnsi="Times New Roman"/>
          <w:sz w:val="28"/>
          <w:szCs w:val="28"/>
          <w:lang w:val="uk-UA"/>
        </w:rPr>
        <w:t>they reach a depth of 15–17 meters, and at a depth of 4 meters, the entire "object" is covered by slabs of unknown origin; a 15-millimeter drill bit even snapped against their surface! Furthermore, specialists from the Institute of Marine Geology detected a mysterious radio source within the catacombs, emitting radio pulses at a frequency of 5 Hz</w:t>
      </w:r>
      <w:r w:rsidR="00CF6C75" w:rsidRPr="00D81782">
        <w:rPr>
          <w:rFonts w:ascii="Times New Roman" w:hAnsi="Times New Roman"/>
          <w:sz w:val="28"/>
          <w:szCs w:val="28"/>
          <w:lang w:val="uk-UA"/>
        </w:rPr>
        <w:t xml:space="preserve"> </w:t>
      </w:r>
      <w:r w:rsidR="00CF6C75" w:rsidRPr="00D81782">
        <w:rPr>
          <w:rFonts w:ascii="Times New Roman" w:hAnsi="Times New Roman" w:cs="Times New Roman"/>
          <w:sz w:val="28"/>
          <w:szCs w:val="28"/>
          <w:lang w:val="en-US"/>
        </w:rPr>
        <w:t>–</w:t>
      </w:r>
      <w:r w:rsidR="00CF6C75" w:rsidRPr="00D81782">
        <w:rPr>
          <w:rFonts w:ascii="Times New Roman" w:hAnsi="Times New Roman" w:cs="Times New Roman"/>
          <w:sz w:val="28"/>
          <w:szCs w:val="28"/>
          <w:lang w:val="uk-UA"/>
        </w:rPr>
        <w:t xml:space="preserve"> </w:t>
      </w:r>
      <w:r w:rsidRPr="00D81782">
        <w:rPr>
          <w:rFonts w:ascii="Times New Roman" w:hAnsi="Times New Roman"/>
          <w:sz w:val="28"/>
          <w:szCs w:val="28"/>
          <w:lang w:val="uk-UA"/>
        </w:rPr>
        <w:t>a level that is lethal to humans [1].</w:t>
      </w:r>
    </w:p>
    <w:p w:rsidR="00C60FAB" w:rsidRPr="00D81782" w:rsidRDefault="00C60FAB"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sz w:val="28"/>
          <w:szCs w:val="28"/>
          <w:lang w:val="uk-UA"/>
        </w:rPr>
        <w:t>Available materials describe the "Suppert Zone" as an area near Sadove where, in the 1990s, V</w:t>
      </w:r>
      <w:r w:rsidR="00CF6C75" w:rsidRPr="00D81782">
        <w:rPr>
          <w:rFonts w:ascii="Times New Roman" w:hAnsi="Times New Roman" w:cs="Times New Roman"/>
          <w:sz w:val="28"/>
          <w:szCs w:val="28"/>
          <w:lang w:val="en-US"/>
        </w:rPr>
        <w:t>. </w:t>
      </w:r>
      <w:r w:rsidRPr="00D81782">
        <w:rPr>
          <w:rFonts w:ascii="Times New Roman" w:hAnsi="Times New Roman"/>
          <w:sz w:val="28"/>
          <w:szCs w:val="28"/>
          <w:lang w:val="uk-UA"/>
        </w:rPr>
        <w:t>Suppert claimed to have detected underground structures using dowsing (radiesthesia). The hypothesis regarding an underground "necropolis of Scythian kings" was disseminated through local history and popular publications. The so-called "Suppert Zone" (or "Suppert Site"), located near the village of Sadove south of Melitopol, holds a distinctive place among the under-researched archaeological sites of the Melitopol region. Issues surrounding its history and archaeology stem from a hypothesis suggesting the existence of a large-scale underground complex in the area</w:t>
      </w:r>
      <w:r w:rsidR="00CF6C75" w:rsidRPr="00D81782">
        <w:rPr>
          <w:rFonts w:ascii="Times New Roman" w:hAnsi="Times New Roman"/>
          <w:sz w:val="28"/>
          <w:szCs w:val="28"/>
          <w:lang w:val="uk-UA"/>
        </w:rPr>
        <w:t xml:space="preserve"> </w:t>
      </w:r>
      <w:r w:rsidR="00CF6C75" w:rsidRPr="00D81782">
        <w:rPr>
          <w:rFonts w:ascii="Times New Roman" w:hAnsi="Times New Roman" w:cs="Times New Roman"/>
          <w:sz w:val="28"/>
          <w:szCs w:val="28"/>
          <w:lang w:val="en-US"/>
        </w:rPr>
        <w:t>–</w:t>
      </w:r>
      <w:r w:rsidR="00CF6C75" w:rsidRPr="00D81782">
        <w:rPr>
          <w:rFonts w:ascii="Times New Roman" w:hAnsi="Times New Roman" w:cs="Times New Roman"/>
          <w:sz w:val="28"/>
          <w:szCs w:val="28"/>
          <w:lang w:val="uk-UA"/>
        </w:rPr>
        <w:t xml:space="preserve"> </w:t>
      </w:r>
      <w:r w:rsidRPr="00D81782">
        <w:rPr>
          <w:rFonts w:ascii="Times New Roman" w:hAnsi="Times New Roman"/>
          <w:sz w:val="28"/>
          <w:szCs w:val="28"/>
          <w:lang w:val="uk-UA"/>
        </w:rPr>
        <w:t xml:space="preserve">interpreted by some researchers and local historians as a potential "necropolis of the Royal Scythians" [8]. However, this hypothesis cannot be considered a proven archaeological concept without systematic field verification and independent documentation of archaeological evidence. The history of the site's investigation is primarily linked to the work of Valentyn Suppert, a Melitopol-based engineer and local historian who, in the early 1990s, claimed to have discovered underground voids and structures with regular geometric shapes near Sadove. Published accounts indicate that he conducted drilling operations and mapped the suspected underground structures. Subsequently, a broad discussion emerged among local history enthusiasts, linking the site to a possible burial complex for the Scythian </w:t>
      </w:r>
      <w:r w:rsidRPr="00D81782">
        <w:rPr>
          <w:rFonts w:ascii="Times New Roman" w:hAnsi="Times New Roman"/>
          <w:sz w:val="28"/>
          <w:szCs w:val="28"/>
          <w:lang w:val="uk-UA"/>
        </w:rPr>
        <w:lastRenderedPageBreak/>
        <w:t>nobility. In 1997, another search expedition was organized, again at the initiative of Stepan Tkachenko. This expedition utilized a unique French-made ground-penetrating radar</w:t>
      </w:r>
      <w:r w:rsidR="00CF6C75" w:rsidRPr="00D81782">
        <w:rPr>
          <w:rFonts w:ascii="Times New Roman" w:hAnsi="Times New Roman"/>
          <w:sz w:val="28"/>
          <w:szCs w:val="28"/>
          <w:lang w:val="uk-UA"/>
        </w:rPr>
        <w:t xml:space="preserve"> </w:t>
      </w:r>
      <w:r w:rsidRPr="00D81782">
        <w:rPr>
          <w:rFonts w:ascii="Times New Roman" w:hAnsi="Times New Roman"/>
          <w:sz w:val="28"/>
          <w:szCs w:val="28"/>
          <w:lang w:val="uk-UA"/>
        </w:rPr>
        <w:t>the only one of its kind in Ukraine at the time</w:t>
      </w:r>
      <w:r w:rsidR="00CF6C75" w:rsidRPr="00D81782">
        <w:rPr>
          <w:rFonts w:ascii="Times New Roman" w:hAnsi="Times New Roman"/>
          <w:sz w:val="28"/>
          <w:szCs w:val="28"/>
          <w:lang w:val="uk-UA"/>
        </w:rPr>
        <w:t xml:space="preserve"> </w:t>
      </w:r>
      <w:r w:rsidR="00CF6C75" w:rsidRPr="00D81782">
        <w:rPr>
          <w:rFonts w:ascii="Times New Roman" w:hAnsi="Times New Roman" w:cs="Times New Roman"/>
          <w:sz w:val="28"/>
          <w:szCs w:val="28"/>
          <w:lang w:val="en-US"/>
        </w:rPr>
        <w:t>–</w:t>
      </w:r>
      <w:r w:rsidR="00CF6C75" w:rsidRPr="00D81782">
        <w:rPr>
          <w:rFonts w:ascii="Times New Roman" w:hAnsi="Times New Roman" w:cs="Times New Roman"/>
          <w:sz w:val="28"/>
          <w:szCs w:val="28"/>
          <w:lang w:val="uk-UA"/>
        </w:rPr>
        <w:t xml:space="preserve"> </w:t>
      </w:r>
      <w:r w:rsidRPr="00D81782">
        <w:rPr>
          <w:rFonts w:ascii="Times New Roman" w:hAnsi="Times New Roman"/>
          <w:sz w:val="28"/>
          <w:szCs w:val="28"/>
          <w:lang w:val="uk-UA"/>
        </w:rPr>
        <w:t>brought from Chornobyl. However, the device failed to capture data within the survey area. It is hypothesized that this was due to the instrument resonating with the local area's informational-energetic flows [8, pp. 51–55]. A particular challenge in this matter is the discrepancy between the scale of the hypotheses proposed and the level of archaeological evidence supporting them. Various publications assert the existence of underground galleries, chambers, and burial sites, as well as a possible link between the site and a "necropolis of Scythian kings." Yet, some of these claims originate from local history, popularizing, or pseudoscientific sources and lack the evidentiary basis required for their unconditional inclusion in a scientific reconstruction. Even sources describing specific surveys fail to provide sufficient archaeological material to definitively identify the complex as a royal Scythian necropolis.</w:t>
      </w:r>
    </w:p>
    <w:p w:rsidR="00C60FAB" w:rsidRPr="00D81782" w:rsidRDefault="00C60FAB"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sz w:val="28"/>
          <w:szCs w:val="28"/>
          <w:lang w:val="uk-UA"/>
        </w:rPr>
        <w:t>At the same time, the very existence of this issue warrants scholarly attention. The Melitopol region is characterized by an exceptionally high concentration of Scythian-era sites; the presence of unexplored underground or burial structures could theoretically significantly expand the body of evidence available for studying the social organization and burial culture of the population of the Northern Sea of ​​Azov region. Therefore, it is appropriate to regard the "Suppert site" not as a proven "necropolis of the Royal Scythians," but as a hypothetical archaeological site requiring independent scientific verification.</w:t>
      </w:r>
    </w:p>
    <w:p w:rsidR="00C60FAB" w:rsidRPr="00D81782" w:rsidRDefault="00C60FAB"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sz w:val="28"/>
          <w:szCs w:val="28"/>
          <w:lang w:val="uk-UA"/>
        </w:rPr>
        <w:t>In this context, the application of modern archaeological survey methods holds promise: geophysical surveying, magnetometry, ground-penetrating radar (GPR) sounding, electrical resistivity tomography, remote sensing, GIS modeling, and</w:t>
      </w:r>
      <w:r w:rsidR="00CF6C75" w:rsidRPr="00D81782">
        <w:rPr>
          <w:rFonts w:ascii="Times New Roman" w:hAnsi="Times New Roman"/>
          <w:sz w:val="28"/>
          <w:szCs w:val="28"/>
          <w:lang w:val="uk-UA"/>
        </w:rPr>
        <w:t xml:space="preserve"> </w:t>
      </w:r>
      <w:r w:rsidR="00CF6C75" w:rsidRPr="00D81782">
        <w:rPr>
          <w:rFonts w:ascii="Times New Roman" w:hAnsi="Times New Roman" w:cs="Times New Roman"/>
          <w:sz w:val="28"/>
          <w:szCs w:val="28"/>
          <w:lang w:val="en-US"/>
        </w:rPr>
        <w:t>–</w:t>
      </w:r>
      <w:r w:rsidR="00CF6C75" w:rsidRPr="00D81782">
        <w:rPr>
          <w:rFonts w:ascii="Times New Roman" w:hAnsi="Times New Roman" w:cs="Times New Roman"/>
          <w:sz w:val="28"/>
          <w:szCs w:val="28"/>
          <w:lang w:val="uk-UA"/>
        </w:rPr>
        <w:t xml:space="preserve"> </w:t>
      </w:r>
      <w:r w:rsidRPr="00D81782">
        <w:rPr>
          <w:rFonts w:ascii="Times New Roman" w:hAnsi="Times New Roman"/>
          <w:sz w:val="28"/>
          <w:szCs w:val="28"/>
          <w:lang w:val="uk-UA"/>
        </w:rPr>
        <w:t>where warranted by the findings</w:t>
      </w:r>
      <w:r w:rsidR="00CF6C75" w:rsidRPr="00D81782">
        <w:rPr>
          <w:rFonts w:ascii="Times New Roman" w:hAnsi="Times New Roman"/>
          <w:sz w:val="28"/>
          <w:szCs w:val="28"/>
          <w:lang w:val="uk-UA"/>
        </w:rPr>
        <w:t xml:space="preserve"> </w:t>
      </w:r>
      <w:r w:rsidR="00CF6C75" w:rsidRPr="00D81782">
        <w:rPr>
          <w:rFonts w:ascii="Times New Roman" w:hAnsi="Times New Roman" w:cs="Times New Roman"/>
          <w:sz w:val="28"/>
          <w:szCs w:val="28"/>
          <w:lang w:val="en-US"/>
        </w:rPr>
        <w:t>–</w:t>
      </w:r>
      <w:r w:rsidR="00CF6C75" w:rsidRPr="00D81782">
        <w:rPr>
          <w:rFonts w:ascii="Times New Roman" w:hAnsi="Times New Roman" w:cs="Times New Roman"/>
          <w:sz w:val="28"/>
          <w:szCs w:val="28"/>
          <w:lang w:val="uk-UA"/>
        </w:rPr>
        <w:t xml:space="preserve"> </w:t>
      </w:r>
      <w:r w:rsidRPr="00D81782">
        <w:rPr>
          <w:rFonts w:ascii="Times New Roman" w:hAnsi="Times New Roman"/>
          <w:sz w:val="28"/>
          <w:szCs w:val="28"/>
          <w:lang w:val="uk-UA"/>
        </w:rPr>
        <w:t>exploratory test pits and excavations. Only the integrated use of independent methods can determine whether the detected subsurface structures are of natural or anthropogenic origin, as well as establish their chronology and functional purpose.</w:t>
      </w:r>
    </w:p>
    <w:p w:rsidR="00C60FAB" w:rsidRPr="00D81782" w:rsidRDefault="00C60FAB"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sz w:val="28"/>
          <w:szCs w:val="28"/>
          <w:lang w:val="uk-UA"/>
        </w:rPr>
        <w:lastRenderedPageBreak/>
        <w:t>Thus, the "Suppert Zone" is a hypothetical archaeological site near Melitopol; it is the subject of a hypothesis regarding the possible existence of Scythian-era underground burial structures</w:t>
      </w:r>
      <w:r w:rsidR="00CF6C75" w:rsidRPr="00D81782">
        <w:rPr>
          <w:rFonts w:ascii="Times New Roman" w:hAnsi="Times New Roman"/>
          <w:sz w:val="28"/>
          <w:szCs w:val="28"/>
          <w:lang w:val="uk-UA"/>
        </w:rPr>
        <w:t xml:space="preserve"> </w:t>
      </w:r>
      <w:r w:rsidR="00CF6C75" w:rsidRPr="00D81782">
        <w:rPr>
          <w:rFonts w:ascii="Times New Roman" w:hAnsi="Times New Roman" w:cs="Times New Roman"/>
          <w:sz w:val="28"/>
          <w:szCs w:val="28"/>
          <w:lang w:val="en-US"/>
        </w:rPr>
        <w:t>–</w:t>
      </w:r>
      <w:r w:rsidR="00CF6C75" w:rsidRPr="00D81782">
        <w:rPr>
          <w:rFonts w:ascii="Times New Roman" w:hAnsi="Times New Roman" w:cs="Times New Roman"/>
          <w:sz w:val="28"/>
          <w:szCs w:val="28"/>
          <w:lang w:val="uk-UA"/>
        </w:rPr>
        <w:t xml:space="preserve"> </w:t>
      </w:r>
      <w:r w:rsidRPr="00D81782">
        <w:rPr>
          <w:rFonts w:ascii="Times New Roman" w:hAnsi="Times New Roman"/>
          <w:sz w:val="28"/>
          <w:szCs w:val="28"/>
          <w:lang w:val="uk-UA"/>
        </w:rPr>
        <w:t>specifically, a necropolis for the Scythian elite. At present, this hypothesis requires independent archaeological and geophysical verification. This justifies classifying the "Suppert Zone" within a distinct category of "problematic yet potentially unique archaeological sites" in the Melitopol region.</w:t>
      </w:r>
    </w:p>
    <w:p w:rsidR="00C60FAB" w:rsidRPr="00D81782" w:rsidRDefault="00C60FAB"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sz w:val="28"/>
          <w:szCs w:val="28"/>
          <w:lang w:val="uk-UA"/>
        </w:rPr>
        <w:t>The Melitopol Kurgan, excavated in 1959, holds a special place among the region's archaeological sites. Its significance stems primarily from the richness of its burial complex and the archaeological materials recovered, which have substantially broadened our understanding of the social structure, material culture, and art of the Scythian era. Finds from the kurgan attest to a high level of development in jewelry making, weaponry, and decorative arts. Gold artifacts and objects associated with the elite burial are of particular scientific value. The Melitopol Kurgan is important not only as an archaeological site but also as a source for studying the social stratification of Scythian society. Research into the site has demonstrated that the steppe region of the Northern Black Sea coast was integrated into complex systems of political, economic, and cultural interaction.</w:t>
      </w:r>
    </w:p>
    <w:p w:rsidR="00C60FAB" w:rsidRPr="00D81782" w:rsidRDefault="00C60FAB"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sz w:val="28"/>
          <w:szCs w:val="28"/>
          <w:lang w:val="uk-UA"/>
        </w:rPr>
        <w:t>The kurgan complexes of the Melitopol area are of particular importance for reconstructing the region's history. They can be viewed simultaneously as burial monuments, sacred sites, spatial markers, sources for reconstructing social structure, and evidence of population mobility. A distinctive feature of these kurgans is their multi-layered nature; a single kurgan might have been used by different communities over the course of centuries. This offers opportunities to study not only individual cultures but also the mechanisms of cultural continuity and the re-appropriation of sacred space.</w:t>
      </w:r>
    </w:p>
    <w:p w:rsidR="00C60FAB" w:rsidRPr="00D81782" w:rsidRDefault="00C60FAB"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sz w:val="28"/>
          <w:szCs w:val="28"/>
          <w:lang w:val="uk-UA"/>
        </w:rPr>
        <w:t>Among the region's kurgan antiquities, the Kara-Tyube kurgan</w:t>
      </w:r>
      <w:r w:rsidR="00CF6C75" w:rsidRPr="00D81782">
        <w:rPr>
          <w:rFonts w:ascii="Times New Roman" w:hAnsi="Times New Roman"/>
          <w:sz w:val="28"/>
          <w:szCs w:val="28"/>
          <w:lang w:val="uk-UA"/>
        </w:rPr>
        <w:t xml:space="preserve"> </w:t>
      </w:r>
      <w:r w:rsidR="00CF6C75" w:rsidRPr="00D81782">
        <w:rPr>
          <w:rFonts w:ascii="Times New Roman" w:hAnsi="Times New Roman" w:cs="Times New Roman"/>
          <w:sz w:val="28"/>
          <w:szCs w:val="28"/>
          <w:lang w:val="en-US"/>
        </w:rPr>
        <w:t>–</w:t>
      </w:r>
      <w:r w:rsidR="00CF6C75" w:rsidRPr="00D81782">
        <w:rPr>
          <w:rFonts w:ascii="Times New Roman" w:hAnsi="Times New Roman" w:cs="Times New Roman"/>
          <w:sz w:val="28"/>
          <w:szCs w:val="28"/>
          <w:lang w:val="uk-UA"/>
        </w:rPr>
        <w:t xml:space="preserve"> </w:t>
      </w:r>
      <w:r w:rsidRPr="00D81782">
        <w:rPr>
          <w:rFonts w:ascii="Times New Roman" w:hAnsi="Times New Roman"/>
          <w:sz w:val="28"/>
          <w:szCs w:val="28"/>
          <w:lang w:val="uk-UA"/>
        </w:rPr>
        <w:t>located near the village of Kostiantynivka in the Melitopol district, on the right bank of the Molochna River</w:t>
      </w:r>
      <w:r w:rsidR="00CF6C75" w:rsidRPr="00D81782">
        <w:rPr>
          <w:rFonts w:ascii="Times New Roman" w:hAnsi="Times New Roman"/>
          <w:sz w:val="28"/>
          <w:szCs w:val="28"/>
          <w:lang w:val="uk-UA"/>
        </w:rPr>
        <w:t xml:space="preserve"> </w:t>
      </w:r>
      <w:r w:rsidR="00CF6C75" w:rsidRPr="00D81782">
        <w:rPr>
          <w:rFonts w:ascii="Times New Roman" w:hAnsi="Times New Roman" w:cs="Times New Roman"/>
          <w:sz w:val="28"/>
          <w:szCs w:val="28"/>
          <w:lang w:val="en-US"/>
        </w:rPr>
        <w:t>–</w:t>
      </w:r>
      <w:r w:rsidR="00CF6C75" w:rsidRPr="00D81782">
        <w:rPr>
          <w:rFonts w:ascii="Times New Roman" w:hAnsi="Times New Roman" w:cs="Times New Roman"/>
          <w:sz w:val="28"/>
          <w:szCs w:val="28"/>
          <w:lang w:val="uk-UA"/>
        </w:rPr>
        <w:t xml:space="preserve"> </w:t>
      </w:r>
      <w:r w:rsidRPr="00D81782">
        <w:rPr>
          <w:rFonts w:ascii="Times New Roman" w:hAnsi="Times New Roman"/>
          <w:sz w:val="28"/>
          <w:szCs w:val="28"/>
          <w:lang w:val="uk-UA"/>
        </w:rPr>
        <w:t xml:space="preserve">serves as a prime example. Rising over five meters in height, the burial mound towered above the floodplain, serving as a landmark in the steppe. The site exhibits the multicultural stratification typical of the Northern Sea of ​​Azov </w:t>
      </w:r>
      <w:r w:rsidRPr="00D81782">
        <w:rPr>
          <w:rFonts w:ascii="Times New Roman" w:hAnsi="Times New Roman"/>
          <w:sz w:val="28"/>
          <w:szCs w:val="28"/>
          <w:lang w:val="uk-UA"/>
        </w:rPr>
        <w:lastRenderedPageBreak/>
        <w:t>region. The mound’s initial construction dates back to the Early Bronze Age (associated with the Yamna cultural-historical community); subsequently, its stratigraphy was enriched by intrusive burials belonging to the Catacomb, Srubna, and Berezhnivka-Maivka horizons. During the Scythian period (4th century BC), the Kara-Tiube mound was reused as a sacred burial space for mid-ranking nomadic elites</w:t>
      </w:r>
      <w:r w:rsidR="00CF6C75" w:rsidRPr="00D81782">
        <w:rPr>
          <w:rFonts w:ascii="Times New Roman" w:hAnsi="Times New Roman"/>
          <w:sz w:val="28"/>
          <w:szCs w:val="28"/>
          <w:lang w:val="uk-UA"/>
        </w:rPr>
        <w:t xml:space="preserve"> </w:t>
      </w:r>
      <w:r w:rsidR="00CF6C75" w:rsidRPr="00D81782">
        <w:rPr>
          <w:rFonts w:ascii="Times New Roman" w:hAnsi="Times New Roman" w:cs="Times New Roman"/>
          <w:sz w:val="28"/>
          <w:szCs w:val="28"/>
          <w:lang w:val="en-US"/>
        </w:rPr>
        <w:t>–</w:t>
      </w:r>
      <w:r w:rsidR="00CF6C75" w:rsidRPr="00D81782">
        <w:rPr>
          <w:rFonts w:ascii="Times New Roman" w:hAnsi="Times New Roman" w:cs="Times New Roman"/>
          <w:sz w:val="28"/>
          <w:szCs w:val="28"/>
          <w:lang w:val="uk-UA"/>
        </w:rPr>
        <w:t xml:space="preserve"> </w:t>
      </w:r>
      <w:r w:rsidRPr="00D81782">
        <w:rPr>
          <w:rFonts w:ascii="Times New Roman" w:hAnsi="Times New Roman"/>
          <w:sz w:val="28"/>
          <w:szCs w:val="28"/>
          <w:lang w:val="uk-UA"/>
        </w:rPr>
        <w:t>a fact evidenced by the concentric structure of additional earthworks, the presence of ditches, and the remains of underground chambers with dromoi [9, pp. 112–118]. The mound exemplifies a cumulative sacred center where the succession of ethnocultural groups did not disrupt the site’s status as a pivotal element of the funerary landscape in the steppe region of the Sea of ​​Azov.</w:t>
      </w:r>
    </w:p>
    <w:p w:rsidR="00C60FAB" w:rsidRPr="00D81782" w:rsidRDefault="00C60FAB"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sz w:val="28"/>
          <w:szCs w:val="28"/>
          <w:lang w:val="uk-UA"/>
        </w:rPr>
        <w:t>The Scythian period is one of the most well-represented eras in the archaeology of the Melitopol region. Sites from this time primarily consist of burial mounds, settlements, and distinct material culture complexes. They offer opportunities to study social structure, military organization, horse tack, jewelry craftsmanship, trade connections, and the interaction between nomadic and sedentary populations.</w:t>
      </w:r>
    </w:p>
    <w:p w:rsidR="00C60FAB" w:rsidRPr="00D81782" w:rsidRDefault="00C60FAB"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sz w:val="28"/>
          <w:szCs w:val="28"/>
          <w:lang w:val="uk-UA"/>
        </w:rPr>
        <w:t>The subsequent stage of the region’s historical and cultural development is represented by Sarmatian and Late Antique antiquities. Studying these remains makes it possible to trace the evolution of the steppe’s nomadic population, as well as changes in military culture, burial rites, and interregional contact networks. Burials containing weapons, horse trappings, ornaments, and imported items are of particular significance.</w:t>
      </w:r>
    </w:p>
    <w:p w:rsidR="00C60FAB" w:rsidRPr="00D81782" w:rsidRDefault="00C60FAB"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sz w:val="28"/>
          <w:szCs w:val="28"/>
          <w:lang w:val="uk-UA"/>
        </w:rPr>
        <w:t>The medieval period in the Melitopol region is linked to the dynamics of the steppe landscape, which served as a zone of interaction between various nomadic and sedentary communities. Archaeological evidence from this era includes burial complexes, individual settlement sites, weaponry, horse trappings, ornaments, and other artifacts.</w:t>
      </w:r>
    </w:p>
    <w:p w:rsidR="00C60FAB" w:rsidRPr="00D81782" w:rsidRDefault="00C60FAB"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sz w:val="28"/>
          <w:szCs w:val="28"/>
          <w:lang w:val="uk-UA"/>
        </w:rPr>
        <w:t>Antiquities associated with the broader Golden Horde period (13th–14th centuries) are of particular interest.</w:t>
      </w:r>
    </w:p>
    <w:p w:rsidR="00C60FAB" w:rsidRPr="00D81782" w:rsidRDefault="00C60FAB"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sz w:val="28"/>
          <w:szCs w:val="28"/>
          <w:lang w:val="en-US"/>
        </w:rPr>
        <w:t xml:space="preserve">The uniqueness of the archaeological heritage of the Melitopol region is defined by the exceptional chronological depth of the archaeological material, the </w:t>
      </w:r>
      <w:r w:rsidRPr="00D81782">
        <w:rPr>
          <w:rFonts w:ascii="Times New Roman" w:hAnsi="Times New Roman"/>
          <w:sz w:val="28"/>
          <w:szCs w:val="28"/>
          <w:lang w:val="en-US"/>
        </w:rPr>
        <w:lastRenderedPageBreak/>
        <w:t>high concentration of burial mounds (kurgans), the region's geographic location at the crossroads of cultural and communication routes, the combination of sites associated with both nomadic and sedentary societies, and the presence of archaeological complexes of not only regional but pan-European significance.</w:t>
      </w:r>
    </w:p>
    <w:p w:rsidR="00C60FAB" w:rsidRPr="00D81782" w:rsidRDefault="00C60FAB"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sz w:val="28"/>
          <w:szCs w:val="28"/>
          <w:lang w:val="en-US"/>
        </w:rPr>
        <w:t>Thus, the uniqueness of the Melitopol region lies not merely in the presence of a few outstanding sites, but in the integrity and multi-layered nature of the region's archaeological landscape. However, following the onset of the Russian occupation, the region's archaeological heritage has faced a fundamentally new situation. Key threats include the loss of physical access to sites, illegal excavations, the looting of burials and destruction of mounds, uncontrolled earthworks, damage caused by hostilities, the illicit trafficking of archaeological artifacts, the loss of archaeological documentation, and the risk of falsifying the provenance of archaeological materials. Consequently, a pressing task for Ukrainian archaeology is to document the condition of sites before, during, and after the occupation, to create digital databases, and to record any instances of illegal interference.</w:t>
      </w:r>
    </w:p>
    <w:p w:rsidR="00C60FAB" w:rsidRPr="00D81782" w:rsidRDefault="00C60FAB"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sz w:val="28"/>
          <w:szCs w:val="28"/>
          <w:lang w:val="en-US"/>
        </w:rPr>
        <w:t xml:space="preserve">Creating a Unified Digital Archaeological Atlas of the Melitopol region holds great promise; such an atlas should include site coordinates, chronological data, descriptions of archaeological complexes, photographic documentation, cartographic materials, results of previous research, information on current status, data regarding damage, and details of illegal interventions. The use of satellite monitoring and the comparison of imagery from different years </w:t>
      </w:r>
      <w:proofErr w:type="gramStart"/>
      <w:r w:rsidRPr="00D81782">
        <w:rPr>
          <w:rFonts w:ascii="Times New Roman" w:hAnsi="Times New Roman"/>
          <w:sz w:val="28"/>
          <w:szCs w:val="28"/>
          <w:lang w:val="en-US"/>
        </w:rPr>
        <w:t>is</w:t>
      </w:r>
      <w:proofErr w:type="gramEnd"/>
      <w:r w:rsidRPr="00D81782">
        <w:rPr>
          <w:rFonts w:ascii="Times New Roman" w:hAnsi="Times New Roman"/>
          <w:sz w:val="28"/>
          <w:szCs w:val="28"/>
          <w:lang w:val="en-US"/>
        </w:rPr>
        <w:t xml:space="preserve"> of particular importance. This approach enables not only the study of archaeological heritage but also the creation of an evidentiary basis for its future preservation and legal protection.</w:t>
      </w:r>
    </w:p>
    <w:p w:rsidR="00C60FAB" w:rsidRPr="00D81782" w:rsidRDefault="00C60FAB" w:rsidP="00D81782">
      <w:pPr>
        <w:pStyle w:val="ae"/>
        <w:spacing w:line="360" w:lineRule="auto"/>
        <w:ind w:firstLine="708"/>
        <w:jc w:val="both"/>
        <w:rPr>
          <w:rFonts w:ascii="Times New Roman" w:hAnsi="Times New Roman"/>
          <w:sz w:val="28"/>
          <w:szCs w:val="28"/>
          <w:lang w:val="uk-UA"/>
        </w:rPr>
      </w:pPr>
      <w:proofErr w:type="gramStart"/>
      <w:r w:rsidRPr="00D81782">
        <w:rPr>
          <w:rFonts w:ascii="Times New Roman" w:hAnsi="Times New Roman"/>
          <w:b/>
          <w:sz w:val="28"/>
          <w:szCs w:val="28"/>
          <w:lang w:val="en-US"/>
        </w:rPr>
        <w:t>Conclusion.</w:t>
      </w:r>
      <w:proofErr w:type="gramEnd"/>
      <w:r w:rsidRPr="00D81782">
        <w:rPr>
          <w:rFonts w:ascii="Times New Roman" w:hAnsi="Times New Roman"/>
          <w:sz w:val="28"/>
          <w:szCs w:val="28"/>
          <w:lang w:val="en-US"/>
        </w:rPr>
        <w:t xml:space="preserve"> The archaeological heritage of the Melitopol region represents a unique historical and cultural phenomenon within Southern Ukraine. Its distinct character stems from a combination of significant chronological depth, a high density of sites, a diversity of cultural traditions, and the region's specific geographical location. Sites such as Kamiana Mohyla, the Melitopol Kurgan, and numerous burial mounds, settlements, and funerary complexes constitute a vital source base for reconstructing the history of the Northern Sea of ​​Azov region. The multi-layered </w:t>
      </w:r>
      <w:r w:rsidRPr="00D81782">
        <w:rPr>
          <w:rFonts w:ascii="Times New Roman" w:hAnsi="Times New Roman"/>
          <w:sz w:val="28"/>
          <w:szCs w:val="28"/>
          <w:lang w:val="en-US"/>
        </w:rPr>
        <w:lastRenderedPageBreak/>
        <w:t>nature of the archaeological landscape holds particular scientific value, allowing for the study not only of individual archaeological cultures but also of long-term processes involving interaction, cultural transformation, and the re-occupation of the territory. The uniqueness of the Melitopol region's archaeological sites should be viewed through a lens that extends beyond individual, exceptional finds; a systemic analysis of the archaeological landscape as a holistic historical source is far more significant.</w:t>
      </w:r>
    </w:p>
    <w:p w:rsidR="00C60FAB" w:rsidRPr="00D81782" w:rsidRDefault="00C60FAB"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sz w:val="28"/>
          <w:szCs w:val="28"/>
          <w:lang w:val="en-US"/>
        </w:rPr>
        <w:t>Under the conditions of Russian occupation, documenting archaeological heritage takes on special importance. Digital recording, GIS modeling, remote monitoring, and the creation of an integrated database must become integral components of Ukraine's modern archaeological policy.</w:t>
      </w:r>
    </w:p>
    <w:p w:rsidR="005F1E11" w:rsidRPr="00D81782" w:rsidRDefault="00C60FAB" w:rsidP="00D81782">
      <w:pPr>
        <w:pStyle w:val="ae"/>
        <w:spacing w:line="360" w:lineRule="auto"/>
        <w:ind w:firstLine="708"/>
        <w:jc w:val="both"/>
        <w:rPr>
          <w:rFonts w:ascii="Times New Roman" w:hAnsi="Times New Roman" w:cs="Times New Roman"/>
          <w:b/>
          <w:bCs/>
          <w:sz w:val="28"/>
          <w:szCs w:val="28"/>
          <w:lang w:val="en-US"/>
        </w:rPr>
      </w:pPr>
      <w:r w:rsidRPr="00D81782">
        <w:rPr>
          <w:rFonts w:ascii="Times New Roman" w:hAnsi="Times New Roman"/>
          <w:sz w:val="28"/>
          <w:szCs w:val="28"/>
          <w:lang w:val="en-US"/>
        </w:rPr>
        <w:t>Preserving and scientifically studying the archaeological sites of the Melitopol region is not merely a task for the discipline of archaeology; it is also a crucial element in safeguarding Ukraine's historical memory, cultural continuity, and national cultural heritage.</w:t>
      </w:r>
    </w:p>
    <w:p w:rsidR="009D5A05" w:rsidRPr="00D81782" w:rsidRDefault="009D5A05" w:rsidP="00D81782">
      <w:pPr>
        <w:spacing w:after="0" w:line="360" w:lineRule="auto"/>
        <w:jc w:val="both"/>
        <w:rPr>
          <w:rFonts w:ascii="Times New Roman" w:hAnsi="Times New Roman" w:cs="Times New Roman"/>
          <w:b/>
          <w:bCs/>
          <w:sz w:val="28"/>
          <w:szCs w:val="28"/>
        </w:rPr>
      </w:pPr>
    </w:p>
    <w:p w:rsidR="005F1E11" w:rsidRPr="00D81782" w:rsidRDefault="00353B6D" w:rsidP="00D81782">
      <w:pPr>
        <w:spacing w:after="0" w:line="360" w:lineRule="auto"/>
        <w:contextualSpacing/>
        <w:jc w:val="center"/>
        <w:rPr>
          <w:rFonts w:ascii="Times New Roman" w:eastAsia="Calibri" w:hAnsi="Times New Roman" w:cs="Times New Roman"/>
          <w:b/>
          <w:bCs/>
          <w:sz w:val="28"/>
          <w:szCs w:val="28"/>
        </w:rPr>
      </w:pPr>
      <w:r w:rsidRPr="00D81782">
        <w:rPr>
          <w:rFonts w:ascii="Times New Roman" w:hAnsi="Times New Roman" w:cs="Times New Roman"/>
          <w:b/>
          <w:bCs/>
          <w:sz w:val="28"/>
          <w:szCs w:val="28"/>
        </w:rPr>
        <w:t xml:space="preserve">Список </w:t>
      </w:r>
      <w:r w:rsidRPr="00D81782">
        <w:rPr>
          <w:rFonts w:ascii="Times New Roman" w:eastAsia="Calibri" w:hAnsi="Times New Roman" w:cs="Times New Roman"/>
          <w:b/>
          <w:bCs/>
          <w:sz w:val="28"/>
          <w:szCs w:val="28"/>
        </w:rPr>
        <w:t>літератури</w:t>
      </w:r>
    </w:p>
    <w:p w:rsidR="002C06F0" w:rsidRPr="00D81782" w:rsidRDefault="002C06F0" w:rsidP="00D81782">
      <w:pPr>
        <w:pStyle w:val="aa"/>
        <w:numPr>
          <w:ilvl w:val="0"/>
          <w:numId w:val="2"/>
        </w:numPr>
        <w:tabs>
          <w:tab w:val="clear" w:pos="709"/>
          <w:tab w:val="left" w:pos="0"/>
        </w:tabs>
        <w:spacing w:after="0" w:line="360" w:lineRule="auto"/>
        <w:contextualSpacing/>
        <w:jc w:val="both"/>
        <w:rPr>
          <w:rFonts w:ascii="Times New Roman" w:hAnsi="Times New Roman"/>
          <w:sz w:val="28"/>
          <w:szCs w:val="28"/>
        </w:rPr>
      </w:pPr>
      <w:r w:rsidRPr="00D81782">
        <w:rPr>
          <w:rFonts w:ascii="Times New Roman" w:hAnsi="Times New Roman"/>
          <w:sz w:val="28"/>
          <w:szCs w:val="28"/>
        </w:rPr>
        <w:t xml:space="preserve">Аномальна зона Супперта або у пошуках некрополя скіфських царів. SPADOK.ORG.UA. 04.06.2015. </w:t>
      </w:r>
      <w:r w:rsidR="00D81782" w:rsidRPr="00D81782">
        <w:rPr>
          <w:sz w:val="28"/>
          <w:szCs w:val="28"/>
        </w:rPr>
        <w:fldChar w:fldCharType="begin"/>
      </w:r>
      <w:r w:rsidR="00D81782" w:rsidRPr="00D81782">
        <w:rPr>
          <w:sz w:val="28"/>
          <w:szCs w:val="28"/>
        </w:rPr>
        <w:instrText xml:space="preserve"> HYPERLINK "https://spadok.org.ua/skifiya/anomalna-zona-supperta-abo-u-poshukach-nekropolya-skifskych-tsariv" \h </w:instrText>
      </w:r>
      <w:r w:rsidR="00D81782" w:rsidRPr="00D81782">
        <w:rPr>
          <w:sz w:val="28"/>
          <w:szCs w:val="28"/>
        </w:rPr>
        <w:fldChar w:fldCharType="separate"/>
      </w:r>
      <w:r w:rsidRPr="00D81782">
        <w:rPr>
          <w:rFonts w:ascii="Times New Roman" w:hAnsi="Times New Roman"/>
          <w:sz w:val="28"/>
          <w:szCs w:val="28"/>
        </w:rPr>
        <w:t>https://spadok.org.ua/skifiya/anomalna-zona-supperta-abo-u-poshukach-nekropolya-skifskych-tsariv</w:t>
      </w:r>
      <w:r w:rsidR="00D81782" w:rsidRPr="00D81782">
        <w:rPr>
          <w:rFonts w:ascii="Times New Roman" w:hAnsi="Times New Roman"/>
          <w:sz w:val="28"/>
          <w:szCs w:val="28"/>
        </w:rPr>
        <w:fldChar w:fldCharType="end"/>
      </w:r>
    </w:p>
    <w:p w:rsidR="002C06F0" w:rsidRPr="00D81782" w:rsidRDefault="002C06F0" w:rsidP="00D81782">
      <w:pPr>
        <w:pStyle w:val="aa"/>
        <w:numPr>
          <w:ilvl w:val="0"/>
          <w:numId w:val="2"/>
        </w:numPr>
        <w:tabs>
          <w:tab w:val="clear" w:pos="709"/>
          <w:tab w:val="left" w:pos="0"/>
        </w:tabs>
        <w:spacing w:after="0" w:line="360" w:lineRule="auto"/>
        <w:contextualSpacing/>
        <w:jc w:val="both"/>
        <w:rPr>
          <w:rFonts w:ascii="Times New Roman" w:hAnsi="Times New Roman"/>
          <w:sz w:val="28"/>
          <w:szCs w:val="28"/>
        </w:rPr>
      </w:pPr>
      <w:r w:rsidRPr="00D81782">
        <w:rPr>
          <w:rFonts w:ascii="Times New Roman" w:hAnsi="Times New Roman"/>
          <w:sz w:val="28"/>
          <w:szCs w:val="28"/>
        </w:rPr>
        <w:t>Даниленко В. М. Каменная Могила. Киев: Наукова думка, 1986. 152 с.</w:t>
      </w:r>
    </w:p>
    <w:p w:rsidR="002C06F0" w:rsidRPr="00D81782" w:rsidRDefault="002C06F0" w:rsidP="00D81782">
      <w:pPr>
        <w:pStyle w:val="aa"/>
        <w:numPr>
          <w:ilvl w:val="0"/>
          <w:numId w:val="2"/>
        </w:numPr>
        <w:tabs>
          <w:tab w:val="clear" w:pos="709"/>
          <w:tab w:val="left" w:pos="0"/>
        </w:tabs>
        <w:spacing w:after="0" w:line="360" w:lineRule="auto"/>
        <w:contextualSpacing/>
        <w:jc w:val="both"/>
        <w:rPr>
          <w:rFonts w:ascii="Times New Roman" w:hAnsi="Times New Roman"/>
          <w:sz w:val="28"/>
          <w:szCs w:val="28"/>
        </w:rPr>
      </w:pPr>
      <w:r w:rsidRPr="00D81782">
        <w:rPr>
          <w:rFonts w:ascii="Times New Roman" w:hAnsi="Times New Roman" w:cs="Times New Roman"/>
          <w:sz w:val="28"/>
          <w:szCs w:val="28"/>
        </w:rPr>
        <w:t xml:space="preserve">Журавльов О. П., Котова Н. С. Тваринництво неолітичного населення України. </w:t>
      </w:r>
      <w:r w:rsidRPr="00D81782">
        <w:rPr>
          <w:rFonts w:ascii="Times New Roman" w:hAnsi="Times New Roman" w:cs="Times New Roman"/>
          <w:i/>
          <w:sz w:val="28"/>
          <w:szCs w:val="28"/>
        </w:rPr>
        <w:t>Археологія.</w:t>
      </w:r>
      <w:r w:rsidRPr="00D81782">
        <w:rPr>
          <w:rFonts w:ascii="Times New Roman" w:hAnsi="Times New Roman" w:cs="Times New Roman"/>
          <w:sz w:val="28"/>
          <w:szCs w:val="28"/>
        </w:rPr>
        <w:t xml:space="preserve"> 1996. №2. С. 3-17. </w:t>
      </w:r>
    </w:p>
    <w:p w:rsidR="002C06F0" w:rsidRPr="00D81782" w:rsidRDefault="002C06F0" w:rsidP="00D81782">
      <w:pPr>
        <w:pStyle w:val="aa"/>
        <w:numPr>
          <w:ilvl w:val="0"/>
          <w:numId w:val="2"/>
        </w:numPr>
        <w:tabs>
          <w:tab w:val="clear" w:pos="709"/>
          <w:tab w:val="left" w:pos="0"/>
        </w:tabs>
        <w:spacing w:after="0" w:line="360" w:lineRule="auto"/>
        <w:contextualSpacing/>
        <w:jc w:val="both"/>
        <w:rPr>
          <w:sz w:val="28"/>
          <w:szCs w:val="28"/>
        </w:rPr>
      </w:pPr>
      <w:r w:rsidRPr="00D81782">
        <w:rPr>
          <w:rStyle w:val="a3"/>
          <w:rFonts w:ascii="Times New Roman" w:hAnsi="Times New Roman" w:cs="Times New Roman"/>
          <w:color w:val="auto"/>
          <w:sz w:val="28"/>
          <w:szCs w:val="28"/>
          <w:u w:val="none"/>
        </w:rPr>
        <w:t>Котова Н. С. Неолитизация Украины. Луганск: Шлях, 2002. 268 с.</w:t>
      </w:r>
    </w:p>
    <w:p w:rsidR="002C06F0" w:rsidRPr="00D81782" w:rsidRDefault="002C06F0" w:rsidP="00D81782">
      <w:pPr>
        <w:pStyle w:val="aa"/>
        <w:numPr>
          <w:ilvl w:val="0"/>
          <w:numId w:val="2"/>
        </w:numPr>
        <w:tabs>
          <w:tab w:val="clear" w:pos="709"/>
          <w:tab w:val="left" w:pos="0"/>
        </w:tabs>
        <w:spacing w:after="0" w:line="360" w:lineRule="auto"/>
        <w:contextualSpacing/>
        <w:jc w:val="both"/>
        <w:rPr>
          <w:rFonts w:ascii="Times New Roman" w:hAnsi="Times New Roman"/>
          <w:sz w:val="28"/>
          <w:szCs w:val="28"/>
        </w:rPr>
      </w:pPr>
      <w:r w:rsidRPr="00D81782">
        <w:rPr>
          <w:rFonts w:ascii="Times New Roman" w:hAnsi="Times New Roman"/>
          <w:sz w:val="28"/>
          <w:szCs w:val="28"/>
        </w:rPr>
        <w:t>Михайлов Б. Д. Петроглифы Каменной Могилы: Семантика. Хронология. Интерпретация. Запорожье: Дикое Поле, 2005. 296 с.</w:t>
      </w:r>
    </w:p>
    <w:p w:rsidR="002C06F0" w:rsidRPr="00D81782" w:rsidRDefault="002C06F0" w:rsidP="00D81782">
      <w:pPr>
        <w:pStyle w:val="aa"/>
        <w:numPr>
          <w:ilvl w:val="0"/>
          <w:numId w:val="2"/>
        </w:numPr>
        <w:tabs>
          <w:tab w:val="clear" w:pos="709"/>
          <w:tab w:val="left" w:pos="0"/>
        </w:tabs>
        <w:spacing w:after="0" w:line="360" w:lineRule="auto"/>
        <w:contextualSpacing/>
        <w:jc w:val="both"/>
        <w:rPr>
          <w:rFonts w:ascii="Times New Roman" w:hAnsi="Times New Roman"/>
          <w:sz w:val="28"/>
          <w:szCs w:val="28"/>
        </w:rPr>
      </w:pPr>
      <w:r w:rsidRPr="00D81782">
        <w:rPr>
          <w:rFonts w:ascii="Times New Roman" w:hAnsi="Times New Roman"/>
          <w:sz w:val="28"/>
          <w:szCs w:val="28"/>
        </w:rPr>
        <w:t xml:space="preserve">Радченко С. Б., Котова Н. С., Тубольцев О. В., Кіосак Д. В., Джос В. С. Поселення Кам’яна Могила 1: як новітні методи актуалізують архівні матеріали? </w:t>
      </w:r>
      <w:r w:rsidRPr="00D81782">
        <w:rPr>
          <w:rFonts w:ascii="Times New Roman" w:hAnsi="Times New Roman"/>
          <w:i/>
          <w:sz w:val="28"/>
          <w:szCs w:val="28"/>
        </w:rPr>
        <w:t>Археологія і давня історія України</w:t>
      </w:r>
      <w:r w:rsidRPr="00D81782">
        <w:rPr>
          <w:rFonts w:ascii="Times New Roman" w:hAnsi="Times New Roman"/>
          <w:sz w:val="28"/>
          <w:szCs w:val="28"/>
        </w:rPr>
        <w:t xml:space="preserve">. 2019. Вип. 2 (31). С. 68–73. </w:t>
      </w:r>
    </w:p>
    <w:p w:rsidR="002C06F0" w:rsidRPr="00D81782" w:rsidRDefault="002C06F0" w:rsidP="00D81782">
      <w:pPr>
        <w:pStyle w:val="aa"/>
        <w:numPr>
          <w:ilvl w:val="0"/>
          <w:numId w:val="2"/>
        </w:numPr>
        <w:tabs>
          <w:tab w:val="clear" w:pos="709"/>
          <w:tab w:val="left" w:pos="0"/>
        </w:tabs>
        <w:spacing w:after="0" w:line="360" w:lineRule="auto"/>
        <w:contextualSpacing/>
        <w:jc w:val="both"/>
        <w:rPr>
          <w:rFonts w:ascii="Times New Roman" w:hAnsi="Times New Roman"/>
          <w:sz w:val="28"/>
          <w:szCs w:val="28"/>
        </w:rPr>
      </w:pPr>
      <w:r w:rsidRPr="00D81782">
        <w:rPr>
          <w:rFonts w:ascii="Times New Roman" w:hAnsi="Times New Roman"/>
          <w:sz w:val="28"/>
          <w:szCs w:val="28"/>
        </w:rPr>
        <w:lastRenderedPageBreak/>
        <w:t xml:space="preserve">Рудинський М. Я. Кам’яна Могила (корпус наскальних малюнків). Київ: Вид-во АН УРСР, 1961. 140 с. </w:t>
      </w:r>
    </w:p>
    <w:p w:rsidR="002C06F0" w:rsidRPr="00D81782" w:rsidRDefault="002C06F0" w:rsidP="00D81782">
      <w:pPr>
        <w:pStyle w:val="aa"/>
        <w:numPr>
          <w:ilvl w:val="0"/>
          <w:numId w:val="2"/>
        </w:numPr>
        <w:tabs>
          <w:tab w:val="clear" w:pos="709"/>
          <w:tab w:val="left" w:pos="0"/>
        </w:tabs>
        <w:spacing w:after="0" w:line="360" w:lineRule="auto"/>
        <w:contextualSpacing/>
        <w:jc w:val="both"/>
        <w:rPr>
          <w:rFonts w:ascii="Times New Roman" w:hAnsi="Times New Roman"/>
          <w:sz w:val="28"/>
          <w:szCs w:val="28"/>
        </w:rPr>
      </w:pPr>
      <w:r w:rsidRPr="00D81782">
        <w:rPr>
          <w:rFonts w:ascii="Times New Roman" w:hAnsi="Times New Roman" w:cs="Times New Roman"/>
          <w:sz w:val="28"/>
          <w:szCs w:val="28"/>
        </w:rPr>
        <w:t>Ткаченко С. Диво мелітопольське. Київ: Парлам. вид-во, 2016. 198 с.</w:t>
      </w:r>
    </w:p>
    <w:p w:rsidR="002C06F0" w:rsidRPr="00D81782" w:rsidRDefault="002C06F0" w:rsidP="00D81782">
      <w:pPr>
        <w:pStyle w:val="aa"/>
        <w:numPr>
          <w:ilvl w:val="0"/>
          <w:numId w:val="2"/>
        </w:numPr>
        <w:tabs>
          <w:tab w:val="clear" w:pos="709"/>
          <w:tab w:val="left" w:pos="0"/>
        </w:tabs>
        <w:spacing w:after="0" w:line="360" w:lineRule="auto"/>
        <w:contextualSpacing/>
        <w:jc w:val="both"/>
        <w:rPr>
          <w:rFonts w:ascii="Times New Roman" w:hAnsi="Times New Roman"/>
          <w:sz w:val="28"/>
          <w:szCs w:val="28"/>
        </w:rPr>
      </w:pPr>
      <w:r w:rsidRPr="00D81782">
        <w:rPr>
          <w:rFonts w:ascii="Times New Roman" w:hAnsi="Times New Roman"/>
          <w:sz w:val="28"/>
          <w:szCs w:val="28"/>
        </w:rPr>
        <w:t>Чередниченк</w:t>
      </w:r>
      <w:r w:rsidRPr="00D81782">
        <w:rPr>
          <w:rFonts w:ascii="Times New Roman" w:hAnsi="Times New Roman"/>
          <w:sz w:val="28"/>
          <w:szCs w:val="28"/>
          <w:lang w:val="ru-RU"/>
        </w:rPr>
        <w:t xml:space="preserve">о М. М., Мурзин В. Ю. Курганы эпохи бронзы и скифского времени в бассейне р. Молочной. </w:t>
      </w:r>
      <w:r w:rsidRPr="00D81782">
        <w:rPr>
          <w:rFonts w:ascii="Times New Roman" w:hAnsi="Times New Roman"/>
          <w:i/>
          <w:sz w:val="28"/>
          <w:szCs w:val="28"/>
          <w:lang w:val="ru-RU"/>
        </w:rPr>
        <w:t xml:space="preserve">Курганы степной Скифии: сб. науч. тр. </w:t>
      </w:r>
      <w:r w:rsidRPr="00D81782">
        <w:rPr>
          <w:rFonts w:ascii="Times New Roman" w:hAnsi="Times New Roman"/>
          <w:sz w:val="28"/>
          <w:szCs w:val="28"/>
          <w:lang w:val="ru-RU"/>
        </w:rPr>
        <w:t>Киев:</w:t>
      </w:r>
      <w:r w:rsidRPr="00D81782">
        <w:rPr>
          <w:rFonts w:ascii="Times New Roman" w:hAnsi="Times New Roman"/>
          <w:sz w:val="28"/>
          <w:szCs w:val="28"/>
        </w:rPr>
        <w:t xml:space="preserve"> Наукова думка, 1982. С. 108–124.</w:t>
      </w:r>
    </w:p>
    <w:p w:rsidR="00641C9E" w:rsidRPr="00D81782" w:rsidRDefault="00641C9E" w:rsidP="00D81782">
      <w:pPr>
        <w:spacing w:after="0" w:line="360" w:lineRule="auto"/>
        <w:contextualSpacing/>
        <w:jc w:val="both"/>
        <w:rPr>
          <w:rFonts w:ascii="Times New Roman" w:hAnsi="Times New Roman"/>
          <w:sz w:val="28"/>
          <w:szCs w:val="28"/>
        </w:rPr>
      </w:pPr>
    </w:p>
    <w:p w:rsidR="005F1E11" w:rsidRPr="00D81782" w:rsidRDefault="00353B6D" w:rsidP="00D81782">
      <w:pPr>
        <w:spacing w:after="0" w:line="360" w:lineRule="auto"/>
        <w:jc w:val="center"/>
        <w:rPr>
          <w:rStyle w:val="bumpedfont15"/>
          <w:rFonts w:ascii="Times New Roman" w:hAnsi="Times New Roman" w:cs="Times New Roman"/>
          <w:b/>
          <w:bCs/>
          <w:sz w:val="28"/>
          <w:szCs w:val="28"/>
          <w:lang w:eastAsia="uk-UA"/>
        </w:rPr>
      </w:pPr>
      <w:r w:rsidRPr="00D81782">
        <w:rPr>
          <w:rStyle w:val="bumpedfont15"/>
          <w:rFonts w:ascii="Times New Roman" w:hAnsi="Times New Roman" w:cs="Times New Roman"/>
          <w:b/>
          <w:bCs/>
          <w:sz w:val="28"/>
          <w:szCs w:val="28"/>
          <w:lang w:eastAsia="uk-UA"/>
        </w:rPr>
        <w:t>References</w:t>
      </w:r>
    </w:p>
    <w:p w:rsidR="002C06F0" w:rsidRPr="00D81782" w:rsidRDefault="002C06F0" w:rsidP="00D81782">
      <w:pPr>
        <w:numPr>
          <w:ilvl w:val="0"/>
          <w:numId w:val="4"/>
        </w:numPr>
        <w:suppressAutoHyphens w:val="0"/>
        <w:spacing w:after="0" w:line="360" w:lineRule="auto"/>
        <w:jc w:val="both"/>
        <w:rPr>
          <w:rFonts w:ascii="Times New Roman" w:hAnsi="Times New Roman" w:cs="Times New Roman"/>
          <w:sz w:val="28"/>
          <w:szCs w:val="28"/>
        </w:rPr>
      </w:pPr>
      <w:r w:rsidRPr="00D81782">
        <w:rPr>
          <w:rFonts w:ascii="Times New Roman" w:hAnsi="Times New Roman" w:cs="Times New Roman"/>
          <w:sz w:val="28"/>
          <w:szCs w:val="28"/>
        </w:rPr>
        <w:t xml:space="preserve">Anomalna zona Supperta abo u poshukakh nekropolia skifskykh tsariv [The Suppert anomalous zone or in search of the necropolis of Scythian kings]. (2015, June 4). </w:t>
      </w:r>
      <w:r w:rsidRPr="00D81782">
        <w:rPr>
          <w:rStyle w:val="a5"/>
          <w:rFonts w:ascii="Times New Roman" w:hAnsi="Times New Roman" w:cs="Times New Roman"/>
          <w:sz w:val="28"/>
          <w:szCs w:val="28"/>
        </w:rPr>
        <w:t>Spadok.org.ua</w:t>
      </w:r>
      <w:r w:rsidRPr="00D81782">
        <w:rPr>
          <w:rFonts w:ascii="Times New Roman" w:hAnsi="Times New Roman" w:cs="Times New Roman"/>
          <w:sz w:val="28"/>
          <w:szCs w:val="28"/>
        </w:rPr>
        <w:t xml:space="preserve">. </w:t>
      </w:r>
      <w:r w:rsidR="00D81782" w:rsidRPr="00D81782">
        <w:rPr>
          <w:sz w:val="28"/>
          <w:szCs w:val="28"/>
        </w:rPr>
        <w:fldChar w:fldCharType="begin"/>
      </w:r>
      <w:r w:rsidR="00D81782" w:rsidRPr="00D81782">
        <w:rPr>
          <w:sz w:val="28"/>
          <w:szCs w:val="28"/>
        </w:rPr>
        <w:instrText xml:space="preserve"> HYPERLINK "https://spadok.org.ua/skifiya/anomalna-zona-supperta-abo-u-poshukach-nekropolya-skifskych-tsariv?utm_source=chatgpt.com" \t "_blank" </w:instrText>
      </w:r>
      <w:r w:rsidR="00D81782" w:rsidRPr="00D81782">
        <w:rPr>
          <w:sz w:val="28"/>
          <w:szCs w:val="28"/>
        </w:rPr>
        <w:fldChar w:fldCharType="separate"/>
      </w:r>
      <w:r w:rsidRPr="00D81782">
        <w:rPr>
          <w:rStyle w:val="a3"/>
          <w:rFonts w:ascii="Times New Roman" w:hAnsi="Times New Roman" w:cs="Times New Roman"/>
          <w:color w:val="auto"/>
          <w:sz w:val="28"/>
          <w:szCs w:val="28"/>
          <w:u w:val="none"/>
        </w:rPr>
        <w:t>https://spadok.org.ua/skifiya/anomalna-zona-supperta-abo-u-poshukach-nekropolya-skifskych-tsariv</w:t>
      </w:r>
      <w:r w:rsidR="00D81782" w:rsidRPr="00D81782">
        <w:rPr>
          <w:rStyle w:val="a3"/>
          <w:rFonts w:ascii="Times New Roman" w:hAnsi="Times New Roman" w:cs="Times New Roman"/>
          <w:color w:val="auto"/>
          <w:sz w:val="28"/>
          <w:szCs w:val="28"/>
          <w:u w:val="none"/>
        </w:rPr>
        <w:fldChar w:fldCharType="end"/>
      </w:r>
      <w:r w:rsidRPr="00D81782">
        <w:rPr>
          <w:rFonts w:ascii="Times New Roman" w:hAnsi="Times New Roman" w:cs="Times New Roman"/>
          <w:sz w:val="28"/>
          <w:szCs w:val="28"/>
        </w:rPr>
        <w:t xml:space="preserve"> </w:t>
      </w:r>
    </w:p>
    <w:p w:rsidR="002C06F0" w:rsidRPr="00D81782" w:rsidRDefault="002C06F0" w:rsidP="00D81782">
      <w:pPr>
        <w:numPr>
          <w:ilvl w:val="0"/>
          <w:numId w:val="4"/>
        </w:numPr>
        <w:suppressAutoHyphens w:val="0"/>
        <w:spacing w:after="0" w:line="360" w:lineRule="auto"/>
        <w:jc w:val="both"/>
        <w:rPr>
          <w:rFonts w:ascii="Times New Roman" w:hAnsi="Times New Roman" w:cs="Times New Roman"/>
          <w:sz w:val="28"/>
          <w:szCs w:val="28"/>
        </w:rPr>
      </w:pPr>
      <w:r w:rsidRPr="00D81782">
        <w:rPr>
          <w:rFonts w:ascii="Times New Roman" w:hAnsi="Times New Roman" w:cs="Times New Roman"/>
          <w:sz w:val="28"/>
          <w:szCs w:val="28"/>
        </w:rPr>
        <w:t xml:space="preserve">Danylenko, V. M. (1986). </w:t>
      </w:r>
      <w:r w:rsidRPr="00D81782">
        <w:rPr>
          <w:rStyle w:val="a5"/>
          <w:rFonts w:ascii="Times New Roman" w:hAnsi="Times New Roman" w:cs="Times New Roman"/>
          <w:sz w:val="28"/>
          <w:szCs w:val="28"/>
        </w:rPr>
        <w:t>Kamennaia Mohyla</w:t>
      </w:r>
      <w:r w:rsidRPr="00D81782">
        <w:rPr>
          <w:rFonts w:ascii="Times New Roman" w:hAnsi="Times New Roman" w:cs="Times New Roman"/>
          <w:sz w:val="28"/>
          <w:szCs w:val="28"/>
        </w:rPr>
        <w:t xml:space="preserve"> [Kamiana Mohyla]. Kyiv: Naukova dumka. </w:t>
      </w:r>
    </w:p>
    <w:p w:rsidR="002C06F0" w:rsidRPr="00D81782" w:rsidRDefault="002C06F0" w:rsidP="00D81782">
      <w:pPr>
        <w:numPr>
          <w:ilvl w:val="0"/>
          <w:numId w:val="4"/>
        </w:numPr>
        <w:suppressAutoHyphens w:val="0"/>
        <w:spacing w:after="0" w:line="360" w:lineRule="auto"/>
        <w:jc w:val="both"/>
        <w:rPr>
          <w:rFonts w:ascii="Times New Roman" w:hAnsi="Times New Roman" w:cs="Times New Roman"/>
          <w:sz w:val="28"/>
          <w:szCs w:val="28"/>
        </w:rPr>
      </w:pPr>
      <w:r w:rsidRPr="00D81782">
        <w:rPr>
          <w:rFonts w:ascii="Times New Roman" w:hAnsi="Times New Roman" w:cs="Times New Roman"/>
          <w:sz w:val="28"/>
          <w:szCs w:val="28"/>
        </w:rPr>
        <w:t xml:space="preserve">Zhuravlov, O. P., &amp; Kotova, N. S. (1996). Tvarynnytstvo neolitychnoho naselennia Ukrainy [Animal husbandry of the Neolithic population of Ukraine]. </w:t>
      </w:r>
      <w:r w:rsidRPr="00D81782">
        <w:rPr>
          <w:rStyle w:val="a5"/>
          <w:rFonts w:ascii="Times New Roman" w:hAnsi="Times New Roman" w:cs="Times New Roman"/>
          <w:sz w:val="28"/>
          <w:szCs w:val="28"/>
        </w:rPr>
        <w:t>Arkheolohiia</w:t>
      </w:r>
      <w:r w:rsidRPr="00D81782">
        <w:rPr>
          <w:rFonts w:ascii="Times New Roman" w:hAnsi="Times New Roman" w:cs="Times New Roman"/>
          <w:sz w:val="28"/>
          <w:szCs w:val="28"/>
        </w:rPr>
        <w:t xml:space="preserve">, (2), 3–17. </w:t>
      </w:r>
    </w:p>
    <w:p w:rsidR="002C06F0" w:rsidRPr="00D81782" w:rsidRDefault="002C06F0" w:rsidP="00D81782">
      <w:pPr>
        <w:numPr>
          <w:ilvl w:val="0"/>
          <w:numId w:val="4"/>
        </w:numPr>
        <w:suppressAutoHyphens w:val="0"/>
        <w:spacing w:after="0" w:line="360" w:lineRule="auto"/>
        <w:jc w:val="both"/>
        <w:rPr>
          <w:rFonts w:ascii="Times New Roman" w:hAnsi="Times New Roman" w:cs="Times New Roman"/>
          <w:sz w:val="28"/>
          <w:szCs w:val="28"/>
        </w:rPr>
      </w:pPr>
      <w:r w:rsidRPr="00D81782">
        <w:rPr>
          <w:rFonts w:ascii="Times New Roman" w:hAnsi="Times New Roman" w:cs="Times New Roman"/>
          <w:sz w:val="28"/>
          <w:szCs w:val="28"/>
        </w:rPr>
        <w:t xml:space="preserve">Kotova, N. S. (2002). </w:t>
      </w:r>
      <w:r w:rsidRPr="00D81782">
        <w:rPr>
          <w:rStyle w:val="a5"/>
          <w:rFonts w:ascii="Times New Roman" w:hAnsi="Times New Roman" w:cs="Times New Roman"/>
          <w:sz w:val="28"/>
          <w:szCs w:val="28"/>
        </w:rPr>
        <w:t>Neolitizatsiia Ukrainy</w:t>
      </w:r>
      <w:r w:rsidRPr="00D81782">
        <w:rPr>
          <w:rFonts w:ascii="Times New Roman" w:hAnsi="Times New Roman" w:cs="Times New Roman"/>
          <w:sz w:val="28"/>
          <w:szCs w:val="28"/>
        </w:rPr>
        <w:t xml:space="preserve"> [Neolithization of Ukraine]. Luhansk: Shliakh. </w:t>
      </w:r>
    </w:p>
    <w:p w:rsidR="002C06F0" w:rsidRPr="00D81782" w:rsidRDefault="002C06F0" w:rsidP="00D81782">
      <w:pPr>
        <w:numPr>
          <w:ilvl w:val="0"/>
          <w:numId w:val="4"/>
        </w:numPr>
        <w:suppressAutoHyphens w:val="0"/>
        <w:spacing w:after="0" w:line="360" w:lineRule="auto"/>
        <w:jc w:val="both"/>
        <w:rPr>
          <w:rFonts w:ascii="Times New Roman" w:hAnsi="Times New Roman" w:cs="Times New Roman"/>
          <w:sz w:val="28"/>
          <w:szCs w:val="28"/>
        </w:rPr>
      </w:pPr>
      <w:r w:rsidRPr="00D81782">
        <w:rPr>
          <w:rFonts w:ascii="Times New Roman" w:hAnsi="Times New Roman" w:cs="Times New Roman"/>
          <w:sz w:val="28"/>
          <w:szCs w:val="28"/>
        </w:rPr>
        <w:t xml:space="preserve">Mykhailov, B. D. (2005). </w:t>
      </w:r>
      <w:r w:rsidRPr="00D81782">
        <w:rPr>
          <w:rStyle w:val="a5"/>
          <w:rFonts w:ascii="Times New Roman" w:hAnsi="Times New Roman" w:cs="Times New Roman"/>
          <w:sz w:val="28"/>
          <w:szCs w:val="28"/>
        </w:rPr>
        <w:t>Petroglify Kamennoy Mogily: Semantika. Khronologiia. Interpretatsiia</w:t>
      </w:r>
      <w:r w:rsidRPr="00D81782">
        <w:rPr>
          <w:rFonts w:ascii="Times New Roman" w:hAnsi="Times New Roman" w:cs="Times New Roman"/>
          <w:sz w:val="28"/>
          <w:szCs w:val="28"/>
        </w:rPr>
        <w:t xml:space="preserve"> [Petroglyphs of Kamiana Mohyla: Semantics, chronology, interpretation]. Zaporizhzhia: Dykoye Pole. </w:t>
      </w:r>
    </w:p>
    <w:p w:rsidR="002C06F0" w:rsidRPr="00D81782" w:rsidRDefault="002C06F0" w:rsidP="00D81782">
      <w:pPr>
        <w:numPr>
          <w:ilvl w:val="0"/>
          <w:numId w:val="4"/>
        </w:numPr>
        <w:suppressAutoHyphens w:val="0"/>
        <w:spacing w:after="0" w:line="360" w:lineRule="auto"/>
        <w:jc w:val="both"/>
        <w:rPr>
          <w:rFonts w:ascii="Times New Roman" w:hAnsi="Times New Roman" w:cs="Times New Roman"/>
          <w:sz w:val="28"/>
          <w:szCs w:val="28"/>
        </w:rPr>
      </w:pPr>
      <w:r w:rsidRPr="00D81782">
        <w:rPr>
          <w:rFonts w:ascii="Times New Roman" w:hAnsi="Times New Roman" w:cs="Times New Roman"/>
          <w:sz w:val="28"/>
          <w:szCs w:val="28"/>
        </w:rPr>
        <w:t>Radchenko,</w:t>
      </w:r>
      <w:r w:rsidR="00CF6C75" w:rsidRPr="00D81782">
        <w:rPr>
          <w:rFonts w:ascii="Times New Roman" w:hAnsi="Times New Roman"/>
          <w:sz w:val="28"/>
          <w:szCs w:val="28"/>
          <w:lang w:val="en-US"/>
        </w:rPr>
        <w:t> </w:t>
      </w:r>
      <w:r w:rsidR="00CF6C75" w:rsidRPr="00D81782">
        <w:rPr>
          <w:rFonts w:ascii="Times New Roman" w:hAnsi="Times New Roman" w:cs="Times New Roman"/>
          <w:sz w:val="28"/>
          <w:szCs w:val="28"/>
        </w:rPr>
        <w:t>B., Kotova,</w:t>
      </w:r>
      <w:r w:rsidR="00CF6C75" w:rsidRPr="00D81782">
        <w:rPr>
          <w:rFonts w:ascii="Times New Roman" w:hAnsi="Times New Roman"/>
          <w:sz w:val="28"/>
          <w:szCs w:val="28"/>
          <w:lang w:val="en-US"/>
        </w:rPr>
        <w:t> </w:t>
      </w:r>
      <w:r w:rsidR="00CF6C75" w:rsidRPr="00D81782">
        <w:rPr>
          <w:rFonts w:ascii="Times New Roman" w:hAnsi="Times New Roman" w:cs="Times New Roman"/>
          <w:sz w:val="28"/>
          <w:szCs w:val="28"/>
        </w:rPr>
        <w:t>S., Tuboltsev,</w:t>
      </w:r>
      <w:r w:rsidR="00CF6C75" w:rsidRPr="00D81782">
        <w:rPr>
          <w:rFonts w:ascii="Times New Roman" w:hAnsi="Times New Roman"/>
          <w:sz w:val="28"/>
          <w:szCs w:val="28"/>
          <w:lang w:val="en-US"/>
        </w:rPr>
        <w:t> </w:t>
      </w:r>
      <w:r w:rsidRPr="00D81782">
        <w:rPr>
          <w:rFonts w:ascii="Times New Roman" w:hAnsi="Times New Roman" w:cs="Times New Roman"/>
          <w:sz w:val="28"/>
          <w:szCs w:val="28"/>
        </w:rPr>
        <w:t>V., Kiosak,</w:t>
      </w:r>
      <w:r w:rsidR="00CF6C75" w:rsidRPr="00D81782">
        <w:rPr>
          <w:rFonts w:ascii="Times New Roman" w:hAnsi="Times New Roman"/>
          <w:sz w:val="28"/>
          <w:szCs w:val="28"/>
          <w:lang w:val="en-US"/>
        </w:rPr>
        <w:t> </w:t>
      </w:r>
      <w:r w:rsidRPr="00D81782">
        <w:rPr>
          <w:rFonts w:ascii="Times New Roman" w:hAnsi="Times New Roman" w:cs="Times New Roman"/>
          <w:sz w:val="28"/>
          <w:szCs w:val="28"/>
        </w:rPr>
        <w:t>V., &amp; Dzhос,</w:t>
      </w:r>
      <w:r w:rsidR="00CF6C75" w:rsidRPr="00D81782">
        <w:rPr>
          <w:rFonts w:ascii="Times New Roman" w:hAnsi="Times New Roman"/>
          <w:sz w:val="28"/>
          <w:szCs w:val="28"/>
          <w:lang w:val="en-US"/>
        </w:rPr>
        <w:t> </w:t>
      </w:r>
      <w:r w:rsidRPr="00D81782">
        <w:rPr>
          <w:rFonts w:ascii="Times New Roman" w:hAnsi="Times New Roman" w:cs="Times New Roman"/>
          <w:sz w:val="28"/>
          <w:szCs w:val="28"/>
        </w:rPr>
        <w:t xml:space="preserve">S. (2019). Poselennia Kamiana Mohyla 1: yak novitni metody aktualizuiut arkhivni materialy? [Kamiana Mohyla 1 settlement: How modern methods actualize archival materials?]. </w:t>
      </w:r>
      <w:r w:rsidRPr="00D81782">
        <w:rPr>
          <w:rStyle w:val="a5"/>
          <w:rFonts w:ascii="Times New Roman" w:hAnsi="Times New Roman" w:cs="Times New Roman"/>
          <w:sz w:val="28"/>
          <w:szCs w:val="28"/>
        </w:rPr>
        <w:t>Arkheolohiia i davnia istoriia Ukrainy</w:t>
      </w:r>
      <w:r w:rsidRPr="00D81782">
        <w:rPr>
          <w:rFonts w:ascii="Times New Roman" w:hAnsi="Times New Roman" w:cs="Times New Roman"/>
          <w:sz w:val="28"/>
          <w:szCs w:val="28"/>
        </w:rPr>
        <w:t xml:space="preserve">, 2(31), 68–73. </w:t>
      </w:r>
    </w:p>
    <w:p w:rsidR="002C06F0" w:rsidRPr="00D81782" w:rsidRDefault="002C06F0" w:rsidP="00D81782">
      <w:pPr>
        <w:numPr>
          <w:ilvl w:val="0"/>
          <w:numId w:val="4"/>
        </w:numPr>
        <w:suppressAutoHyphens w:val="0"/>
        <w:spacing w:after="0" w:line="360" w:lineRule="auto"/>
        <w:jc w:val="both"/>
        <w:rPr>
          <w:rFonts w:ascii="Times New Roman" w:hAnsi="Times New Roman" w:cs="Times New Roman"/>
          <w:sz w:val="28"/>
          <w:szCs w:val="28"/>
        </w:rPr>
      </w:pPr>
      <w:r w:rsidRPr="00D81782">
        <w:rPr>
          <w:rFonts w:ascii="Times New Roman" w:hAnsi="Times New Roman" w:cs="Times New Roman"/>
          <w:sz w:val="28"/>
          <w:szCs w:val="28"/>
        </w:rPr>
        <w:t xml:space="preserve">Rudynskyi, M. Ya. (1961). </w:t>
      </w:r>
      <w:r w:rsidRPr="00D81782">
        <w:rPr>
          <w:rStyle w:val="a5"/>
          <w:rFonts w:ascii="Times New Roman" w:hAnsi="Times New Roman" w:cs="Times New Roman"/>
          <w:sz w:val="28"/>
          <w:szCs w:val="28"/>
        </w:rPr>
        <w:t>Kamiana Mohyla (korpus naskalnykh maliunkiv)</w:t>
      </w:r>
      <w:r w:rsidRPr="00D81782">
        <w:rPr>
          <w:rFonts w:ascii="Times New Roman" w:hAnsi="Times New Roman" w:cs="Times New Roman"/>
          <w:sz w:val="28"/>
          <w:szCs w:val="28"/>
        </w:rPr>
        <w:t xml:space="preserve"> [Kamiana Mohyla: Corpus of rock paintings]. Kyiv: Vydavnytstvo AN URSR. </w:t>
      </w:r>
    </w:p>
    <w:p w:rsidR="002C06F0" w:rsidRPr="00D81782" w:rsidRDefault="002C06F0" w:rsidP="00D81782">
      <w:pPr>
        <w:numPr>
          <w:ilvl w:val="0"/>
          <w:numId w:val="4"/>
        </w:numPr>
        <w:suppressAutoHyphens w:val="0"/>
        <w:spacing w:after="0" w:line="360" w:lineRule="auto"/>
        <w:jc w:val="both"/>
        <w:rPr>
          <w:rFonts w:ascii="Times New Roman" w:hAnsi="Times New Roman" w:cs="Times New Roman"/>
          <w:sz w:val="28"/>
          <w:szCs w:val="28"/>
        </w:rPr>
      </w:pPr>
      <w:r w:rsidRPr="00D81782">
        <w:rPr>
          <w:rFonts w:ascii="Times New Roman" w:hAnsi="Times New Roman" w:cs="Times New Roman"/>
          <w:sz w:val="28"/>
          <w:szCs w:val="28"/>
        </w:rPr>
        <w:t xml:space="preserve">Tkachenko, S. (2016). </w:t>
      </w:r>
      <w:r w:rsidRPr="00D81782">
        <w:rPr>
          <w:rStyle w:val="a5"/>
          <w:rFonts w:ascii="Times New Roman" w:hAnsi="Times New Roman" w:cs="Times New Roman"/>
          <w:sz w:val="28"/>
          <w:szCs w:val="28"/>
        </w:rPr>
        <w:t>Dyvo melitopolske</w:t>
      </w:r>
      <w:r w:rsidRPr="00D81782">
        <w:rPr>
          <w:rFonts w:ascii="Times New Roman" w:hAnsi="Times New Roman" w:cs="Times New Roman"/>
          <w:sz w:val="28"/>
          <w:szCs w:val="28"/>
        </w:rPr>
        <w:t xml:space="preserve"> [The Melitopol miracle]. Kyiv: Parlamentske vydavnytstvo. </w:t>
      </w:r>
    </w:p>
    <w:p w:rsidR="002C06F0" w:rsidRPr="00D81782" w:rsidRDefault="002C06F0" w:rsidP="00D81782">
      <w:pPr>
        <w:numPr>
          <w:ilvl w:val="0"/>
          <w:numId w:val="4"/>
        </w:numPr>
        <w:suppressAutoHyphens w:val="0"/>
        <w:spacing w:after="0" w:line="360" w:lineRule="auto"/>
        <w:jc w:val="both"/>
        <w:rPr>
          <w:rFonts w:ascii="Times New Roman" w:hAnsi="Times New Roman" w:cs="Times New Roman"/>
          <w:sz w:val="28"/>
          <w:szCs w:val="28"/>
        </w:rPr>
      </w:pPr>
      <w:r w:rsidRPr="00D81782">
        <w:rPr>
          <w:rFonts w:ascii="Times New Roman" w:hAnsi="Times New Roman" w:cs="Times New Roman"/>
          <w:sz w:val="28"/>
          <w:szCs w:val="28"/>
        </w:rPr>
        <w:lastRenderedPageBreak/>
        <w:t xml:space="preserve">Cherednychenko, M. M., &amp; Murzyn, V. Yu. (1982). Kurgany epokhy bronzy i skifskogo vremeni v basseine r. Molochnoi [Bronze Age and Scythian-period barrows in the Molochna River basin]. In </w:t>
      </w:r>
      <w:r w:rsidRPr="00D81782">
        <w:rPr>
          <w:rStyle w:val="a5"/>
          <w:rFonts w:ascii="Times New Roman" w:hAnsi="Times New Roman" w:cs="Times New Roman"/>
          <w:sz w:val="28"/>
          <w:szCs w:val="28"/>
        </w:rPr>
        <w:t>Kurgany stepnoi Skifii: Sbornik nauchnykh trudov</w:t>
      </w:r>
      <w:r w:rsidRPr="00D81782">
        <w:rPr>
          <w:rFonts w:ascii="Times New Roman" w:hAnsi="Times New Roman" w:cs="Times New Roman"/>
          <w:sz w:val="28"/>
          <w:szCs w:val="28"/>
        </w:rPr>
        <w:t xml:space="preserve"> [Barrows of the Steppe Scythia: Collection of scholarly works] (pp. 108–124). Kyiv: Naukova dumka.</w:t>
      </w:r>
    </w:p>
    <w:p w:rsidR="005F1E11" w:rsidRPr="00D81782" w:rsidRDefault="005F1E11" w:rsidP="00D81782">
      <w:pPr>
        <w:spacing w:after="0" w:line="360" w:lineRule="auto"/>
        <w:ind w:firstLine="567"/>
        <w:jc w:val="both"/>
        <w:rPr>
          <w:rFonts w:ascii="Times New Roman" w:hAnsi="Times New Roman" w:cs="Times New Roman"/>
          <w:b/>
          <w:i/>
          <w:sz w:val="28"/>
          <w:szCs w:val="28"/>
        </w:rPr>
      </w:pPr>
    </w:p>
    <w:p w:rsidR="005F1E11" w:rsidRPr="00D81782" w:rsidRDefault="00353B6D" w:rsidP="00D81782">
      <w:pPr>
        <w:spacing w:after="0" w:line="360" w:lineRule="auto"/>
        <w:ind w:firstLine="567"/>
        <w:jc w:val="both"/>
        <w:rPr>
          <w:rFonts w:ascii="Times New Roman" w:hAnsi="Times New Roman"/>
          <w:sz w:val="28"/>
          <w:szCs w:val="28"/>
        </w:rPr>
      </w:pPr>
      <w:r w:rsidRPr="00D81782">
        <w:rPr>
          <w:rFonts w:ascii="Times New Roman" w:hAnsi="Times New Roman" w:cs="Times New Roman"/>
          <w:b/>
          <w:i/>
          <w:sz w:val="28"/>
          <w:szCs w:val="28"/>
        </w:rPr>
        <w:t>Ситник</w:t>
      </w:r>
      <w:r w:rsidR="005C5C9A" w:rsidRPr="00D81782">
        <w:rPr>
          <w:rFonts w:ascii="Times New Roman" w:hAnsi="Times New Roman" w:cs="Times New Roman"/>
          <w:b/>
          <w:i/>
          <w:sz w:val="28"/>
          <w:szCs w:val="28"/>
        </w:rPr>
        <w:t xml:space="preserve"> О.</w:t>
      </w:r>
      <w:r w:rsidRPr="00D81782">
        <w:rPr>
          <w:rFonts w:ascii="Times New Roman" w:hAnsi="Times New Roman" w:cs="Times New Roman"/>
          <w:b/>
          <w:i/>
          <w:sz w:val="28"/>
          <w:szCs w:val="28"/>
        </w:rPr>
        <w:t xml:space="preserve">, </w:t>
      </w:r>
      <w:r w:rsidRPr="00D81782">
        <w:rPr>
          <w:rFonts w:ascii="Times New Roman" w:hAnsi="Times New Roman" w:cs="Times New Roman"/>
          <w:b/>
          <w:i/>
          <w:iCs/>
          <w:sz w:val="28"/>
          <w:szCs w:val="28"/>
        </w:rPr>
        <w:t>Горбова</w:t>
      </w:r>
      <w:r w:rsidR="005C5C9A" w:rsidRPr="00D81782">
        <w:rPr>
          <w:rFonts w:ascii="Times New Roman" w:hAnsi="Times New Roman" w:cs="Times New Roman"/>
          <w:b/>
          <w:i/>
          <w:iCs/>
          <w:sz w:val="28"/>
          <w:szCs w:val="28"/>
        </w:rPr>
        <w:t xml:space="preserve"> </w:t>
      </w:r>
      <w:r w:rsidR="005C5C9A" w:rsidRPr="00D81782">
        <w:rPr>
          <w:rFonts w:ascii="Times New Roman" w:hAnsi="Times New Roman" w:cs="Times New Roman"/>
          <w:b/>
          <w:i/>
          <w:sz w:val="28"/>
          <w:szCs w:val="28"/>
        </w:rPr>
        <w:t>О.</w:t>
      </w:r>
      <w:r w:rsidRPr="00D81782">
        <w:rPr>
          <w:rFonts w:ascii="Times New Roman" w:hAnsi="Times New Roman" w:cs="Times New Roman"/>
          <w:b/>
          <w:i/>
          <w:iCs/>
          <w:sz w:val="28"/>
          <w:szCs w:val="28"/>
        </w:rPr>
        <w:t xml:space="preserve">, </w:t>
      </w:r>
      <w:r w:rsidR="005C5C9A" w:rsidRPr="00D81782">
        <w:rPr>
          <w:rFonts w:ascii="Times New Roman" w:hAnsi="Times New Roman" w:cs="Times New Roman"/>
          <w:b/>
          <w:i/>
          <w:iCs/>
          <w:sz w:val="28"/>
          <w:szCs w:val="28"/>
        </w:rPr>
        <w:t xml:space="preserve">Смілик </w:t>
      </w:r>
      <w:r w:rsidR="005C5C9A" w:rsidRPr="00D81782">
        <w:rPr>
          <w:rFonts w:ascii="Times New Roman" w:hAnsi="Times New Roman" w:cs="Times New Roman"/>
          <w:b/>
          <w:i/>
          <w:sz w:val="28"/>
          <w:szCs w:val="28"/>
          <w:lang w:val="en-US"/>
        </w:rPr>
        <w:t>M</w:t>
      </w:r>
      <w:r w:rsidRPr="00D81782">
        <w:rPr>
          <w:rFonts w:ascii="Times New Roman" w:hAnsi="Times New Roman" w:cs="Times New Roman"/>
          <w:b/>
          <w:i/>
          <w:sz w:val="28"/>
          <w:szCs w:val="28"/>
        </w:rPr>
        <w:t>. Унікальні археологічні пам’ятки Мелітопольщини: історико-археологічна специфіка та проблеми збереження</w:t>
      </w:r>
    </w:p>
    <w:p w:rsidR="005F1E11" w:rsidRPr="00D81782" w:rsidRDefault="00353B6D"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cs="Times New Roman"/>
          <w:sz w:val="28"/>
          <w:szCs w:val="28"/>
          <w:lang w:val="uk-UA"/>
        </w:rPr>
        <w:t>У статті здійснено комплексний історико-археологічний аналіз унікальних археологічних пам’яток Мелітопольщини як важливої складової культурної спадщини Південної України. Метою дослідження є визначення специфіки, наукової та культурно-історичної цінності археологічних пам’яток регіону, з’ясування їхнього місця у системі археологічної спадщини Північного Причорномор’я та обґрунтування необхідності їх комплексного дослідження і збереження. Методологічну основу становлять історико-археологічний, культурно-ландшафтний, системний, порівняльно-історичний та міждисциплінарний підходи.</w:t>
      </w:r>
    </w:p>
    <w:p w:rsidR="005F1E11" w:rsidRPr="00D81782" w:rsidRDefault="00353B6D"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cs="Times New Roman"/>
          <w:sz w:val="28"/>
          <w:szCs w:val="28"/>
          <w:lang w:val="uk-UA"/>
        </w:rPr>
        <w:t>Проаналізовано основні групи археологічних пам’яток Мелітопольщини – курганні комплекси, поселення, могильники, культові об’єкти, пам’ятки доби бронзи, скіфського та сарматського часу, а також середньовічні старожитності. Особливу увагу приділено таким знаковим пам’яткам, як Кам’яна Могила, Мелітопольський курган й інші археологічні об’єкти краю. Показано, що унікальність археологічної спадщини Мелітопольщини визначається не лише окремими винятковими знахідками, а й концентрацією пам’яток різних історичних епох у межах єдиного степового культурного ландшафту.</w:t>
      </w:r>
    </w:p>
    <w:p w:rsidR="005F1E11" w:rsidRPr="00D81782" w:rsidRDefault="00353B6D"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cs="Times New Roman"/>
          <w:sz w:val="28"/>
          <w:szCs w:val="28"/>
          <w:lang w:val="uk-UA"/>
        </w:rPr>
        <w:t xml:space="preserve">Обґрунтовано, що археологічні пам’ятки Мелітопольщини становлять важливе джерело для реконструкції тривалих процесів заселення, господарського освоєння, культурної взаємодії та трансформації населення </w:t>
      </w:r>
      <w:r w:rsidRPr="00D81782">
        <w:rPr>
          <w:rFonts w:ascii="Times New Roman" w:hAnsi="Times New Roman" w:cs="Times New Roman"/>
          <w:sz w:val="28"/>
          <w:szCs w:val="28"/>
          <w:lang w:val="uk-UA"/>
        </w:rPr>
        <w:lastRenderedPageBreak/>
        <w:t>Північного Приазов’я. Окремо розглянуто сучасні загрози археологічній спадщині, пов’язані з російською окупацією, незаконними розкопками, пограбуванням, руйнуванням та втратою доступу до пам’яток. Запропоновано основні напрями документування, цифрової фіксації та подальшого дослідження археологічної спадщини Мелітопольщини.</w:t>
      </w:r>
    </w:p>
    <w:p w:rsidR="005F1E11" w:rsidRPr="00D81782" w:rsidRDefault="00353B6D" w:rsidP="00D81782">
      <w:pPr>
        <w:pStyle w:val="ae"/>
        <w:spacing w:line="360" w:lineRule="auto"/>
        <w:ind w:firstLine="708"/>
        <w:jc w:val="both"/>
        <w:rPr>
          <w:sz w:val="28"/>
          <w:szCs w:val="28"/>
          <w:lang w:val="uk-UA"/>
        </w:rPr>
      </w:pPr>
      <w:r w:rsidRPr="00D81782">
        <w:rPr>
          <w:rStyle w:val="a4"/>
          <w:rFonts w:ascii="Times New Roman" w:hAnsi="Times New Roman" w:cs="Times New Roman"/>
          <w:sz w:val="28"/>
          <w:szCs w:val="28"/>
          <w:lang w:val="uk-UA"/>
        </w:rPr>
        <w:t>Ключові слова:</w:t>
      </w:r>
      <w:r w:rsidRPr="00D81782">
        <w:rPr>
          <w:rFonts w:ascii="Times New Roman" w:hAnsi="Times New Roman" w:cs="Times New Roman"/>
          <w:sz w:val="28"/>
          <w:szCs w:val="28"/>
          <w:lang w:val="uk-UA"/>
        </w:rPr>
        <w:t xml:space="preserve"> Мелітопольщина, археологічна спадщина, археологічні пам’ятки, Мелітопольський курган, Північне Приазов’я, скіфська культура, кургани, культурний ландшафт, археологічні дослідження.</w:t>
      </w:r>
    </w:p>
    <w:p w:rsidR="005F1E11" w:rsidRPr="00D81782" w:rsidRDefault="005F1E11" w:rsidP="00D81782">
      <w:pPr>
        <w:pStyle w:val="ae"/>
        <w:spacing w:line="360" w:lineRule="auto"/>
        <w:ind w:firstLine="708"/>
        <w:jc w:val="both"/>
        <w:rPr>
          <w:rFonts w:ascii="Times New Roman" w:hAnsi="Times New Roman" w:cs="Times New Roman"/>
          <w:i/>
          <w:sz w:val="28"/>
          <w:szCs w:val="28"/>
          <w:lang w:val="uk-UA"/>
        </w:rPr>
      </w:pPr>
    </w:p>
    <w:p w:rsidR="005F1E11" w:rsidRPr="00D81782" w:rsidRDefault="00353B6D" w:rsidP="00D81782">
      <w:pPr>
        <w:pStyle w:val="ae"/>
        <w:spacing w:line="360" w:lineRule="auto"/>
        <w:ind w:firstLine="708"/>
        <w:jc w:val="both"/>
        <w:rPr>
          <w:rFonts w:ascii="Times New Roman" w:hAnsi="Times New Roman"/>
          <w:i/>
          <w:sz w:val="28"/>
          <w:szCs w:val="28"/>
          <w:lang w:val="uk-UA"/>
        </w:rPr>
      </w:pPr>
      <w:r w:rsidRPr="00D81782">
        <w:rPr>
          <w:rFonts w:ascii="Times New Roman" w:hAnsi="Times New Roman" w:cs="Times New Roman"/>
          <w:b/>
          <w:i/>
          <w:sz w:val="28"/>
          <w:szCs w:val="28"/>
          <w:lang w:val="uk-UA"/>
        </w:rPr>
        <w:t>Sytnyk</w:t>
      </w:r>
      <w:r w:rsidR="005C5C9A" w:rsidRPr="00D81782">
        <w:rPr>
          <w:rFonts w:ascii="Times New Roman" w:hAnsi="Times New Roman" w:cs="Times New Roman"/>
          <w:b/>
          <w:i/>
          <w:sz w:val="28"/>
          <w:szCs w:val="28"/>
          <w:lang w:val="uk-UA"/>
        </w:rPr>
        <w:t xml:space="preserve"> О.</w:t>
      </w:r>
      <w:r w:rsidRPr="00D81782">
        <w:rPr>
          <w:rFonts w:ascii="Times New Roman" w:hAnsi="Times New Roman" w:cs="Times New Roman"/>
          <w:b/>
          <w:bCs/>
          <w:i/>
          <w:iCs/>
          <w:sz w:val="28"/>
          <w:szCs w:val="28"/>
          <w:lang w:val="uk-UA"/>
        </w:rPr>
        <w:t xml:space="preserve">, </w:t>
      </w:r>
      <w:r w:rsidRPr="00D81782">
        <w:rPr>
          <w:rFonts w:ascii="Times New Roman" w:hAnsi="Times New Roman" w:cs="Times New Roman"/>
          <w:b/>
          <w:bCs/>
          <w:i/>
          <w:iCs/>
          <w:sz w:val="28"/>
          <w:szCs w:val="28"/>
          <w:lang w:val="en-US"/>
        </w:rPr>
        <w:t>Horbova</w:t>
      </w:r>
      <w:r w:rsidR="005C5C9A" w:rsidRPr="00D81782">
        <w:rPr>
          <w:rFonts w:ascii="Times New Roman" w:hAnsi="Times New Roman" w:cs="Times New Roman"/>
          <w:b/>
          <w:bCs/>
          <w:i/>
          <w:iCs/>
          <w:sz w:val="28"/>
          <w:szCs w:val="28"/>
          <w:lang w:val="uk-UA"/>
        </w:rPr>
        <w:t xml:space="preserve"> </w:t>
      </w:r>
      <w:proofErr w:type="gramStart"/>
      <w:r w:rsidR="005C5C9A" w:rsidRPr="00D81782">
        <w:rPr>
          <w:rFonts w:ascii="Times New Roman" w:hAnsi="Times New Roman" w:cs="Times New Roman"/>
          <w:b/>
          <w:i/>
          <w:sz w:val="28"/>
          <w:szCs w:val="28"/>
          <w:lang w:val="uk-UA"/>
        </w:rPr>
        <w:t>О.</w:t>
      </w:r>
      <w:r w:rsidRPr="00D81782">
        <w:rPr>
          <w:rFonts w:ascii="Times New Roman" w:hAnsi="Times New Roman" w:cs="Times New Roman"/>
          <w:b/>
          <w:bCs/>
          <w:i/>
          <w:iCs/>
          <w:sz w:val="28"/>
          <w:szCs w:val="28"/>
          <w:lang w:val="uk-UA"/>
        </w:rPr>
        <w:t>,</w:t>
      </w:r>
      <w:proofErr w:type="gramEnd"/>
      <w:r w:rsidRPr="00D81782">
        <w:rPr>
          <w:rFonts w:ascii="Times New Roman" w:hAnsi="Times New Roman" w:cs="Times New Roman"/>
          <w:b/>
          <w:bCs/>
          <w:i/>
          <w:iCs/>
          <w:sz w:val="28"/>
          <w:szCs w:val="28"/>
          <w:lang w:val="uk-UA"/>
        </w:rPr>
        <w:t xml:space="preserve"> </w:t>
      </w:r>
      <w:r w:rsidR="005C5C9A" w:rsidRPr="00D81782">
        <w:rPr>
          <w:rFonts w:ascii="Times New Roman" w:hAnsi="Times New Roman" w:cs="Times New Roman"/>
          <w:b/>
          <w:i/>
          <w:sz w:val="28"/>
          <w:szCs w:val="28"/>
          <w:lang w:val="en-US"/>
        </w:rPr>
        <w:t>Smilyk</w:t>
      </w:r>
      <w:r w:rsidR="005C5C9A" w:rsidRPr="00D81782">
        <w:rPr>
          <w:rFonts w:ascii="Times New Roman" w:hAnsi="Times New Roman" w:cs="Times New Roman"/>
          <w:b/>
          <w:i/>
          <w:sz w:val="28"/>
          <w:szCs w:val="28"/>
          <w:lang w:val="uk-UA"/>
        </w:rPr>
        <w:t xml:space="preserve"> </w:t>
      </w:r>
      <w:r w:rsidR="005C5C9A" w:rsidRPr="00D81782">
        <w:rPr>
          <w:rFonts w:ascii="Times New Roman" w:hAnsi="Times New Roman" w:cs="Times New Roman"/>
          <w:b/>
          <w:i/>
          <w:sz w:val="28"/>
          <w:szCs w:val="28"/>
          <w:lang w:val="en-US"/>
        </w:rPr>
        <w:t>M.</w:t>
      </w:r>
      <w:r w:rsidR="005C5C9A" w:rsidRPr="00D81782">
        <w:rPr>
          <w:rFonts w:ascii="Times New Roman" w:hAnsi="Times New Roman" w:cs="Times New Roman"/>
          <w:i/>
          <w:sz w:val="28"/>
          <w:szCs w:val="28"/>
          <w:lang w:val="en-US"/>
        </w:rPr>
        <w:t xml:space="preserve"> </w:t>
      </w:r>
      <w:r w:rsidRPr="00D81782">
        <w:rPr>
          <w:rFonts w:ascii="Times New Roman" w:hAnsi="Times New Roman" w:cs="Times New Roman"/>
          <w:b/>
          <w:i/>
          <w:sz w:val="28"/>
          <w:szCs w:val="28"/>
          <w:lang w:val="uk-UA"/>
        </w:rPr>
        <w:t>The role of archaeological sites in the study of cultural changes in TranscarpathiaUnique archaeological monuments of Melitopolland: historical-archaeology specificity and problems of preservation</w:t>
      </w:r>
    </w:p>
    <w:p w:rsidR="005F1E11" w:rsidRPr="00D81782" w:rsidRDefault="00353B6D"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cs="Times New Roman"/>
          <w:sz w:val="28"/>
          <w:szCs w:val="28"/>
          <w:lang w:val="uk-UA"/>
        </w:rPr>
        <w:t>The article carries out a comprehensive historical and archaeological analysis of the unique archaeological monuments of the Melitopol region as an important component of the cultural heritage of Southern Ukraine. The purpose of the study is to determine the specificity, scientific and cultural and historical value of the archaeological monuments of the region, to clarify their place in the system of archaeological heritage of the Northern Black Sea Region and to substantiate the need for their comprehensive study and preservation. The methodological basis is historical and archaeological, cultural and landscape, systemic, comparative and historical and interdisciplinary approaches. The main groups of archaeological monuments of the Melitopol region are analyzed – mound complexes, settlements, burial grounds, cult objects, monuments of the Bronze Age, Scythian and Sarmatian times, as well as medieval antiquities. Special attention is paid to such iconic monuments as Kamyana Mohyla, Melitopol Kurgan and other archaeological sites of the region. It is shown that the uniqueness of the archaeological heritage of the Melitopol region is determined not only by individual exceptional finds, but also by the concentration of monuments of different historical eras within a single steppe cultural landscape.</w:t>
      </w:r>
    </w:p>
    <w:p w:rsidR="005F1E11" w:rsidRPr="00D81782" w:rsidRDefault="00353B6D"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cs="Times New Roman"/>
          <w:sz w:val="28"/>
          <w:szCs w:val="28"/>
          <w:lang w:val="uk-UA"/>
        </w:rPr>
        <w:lastRenderedPageBreak/>
        <w:t>It is substantiated that the archaeological monuments of the Melitopol region constitute an important source for the reconstruction of long-term processes of settlement, economic development, cultural interaction and transformation of the population of the Northern Azov region. Separately, modern threats to the archaeological heritage associated with the Russian occupation, illegal excavations, robbery, destruction and loss of access to monuments are considered. The main directions of documentation, digital fixation and further research of the archaeological heritage of the Melitopol region are proposed.</w:t>
      </w:r>
    </w:p>
    <w:p w:rsidR="005F1E11" w:rsidRPr="00D81782" w:rsidRDefault="00353B6D" w:rsidP="00D81782">
      <w:pPr>
        <w:pStyle w:val="ae"/>
        <w:spacing w:line="360" w:lineRule="auto"/>
        <w:ind w:firstLine="708"/>
        <w:jc w:val="both"/>
        <w:rPr>
          <w:rFonts w:ascii="Times New Roman" w:hAnsi="Times New Roman"/>
          <w:sz w:val="28"/>
          <w:szCs w:val="28"/>
          <w:lang w:val="uk-UA"/>
        </w:rPr>
      </w:pPr>
      <w:r w:rsidRPr="00D81782">
        <w:rPr>
          <w:rFonts w:ascii="Times New Roman" w:hAnsi="Times New Roman" w:cs="Times New Roman"/>
          <w:b/>
          <w:sz w:val="28"/>
          <w:szCs w:val="28"/>
          <w:lang w:val="uk-UA"/>
        </w:rPr>
        <w:t>Keywords:</w:t>
      </w:r>
      <w:r w:rsidRPr="00D81782">
        <w:rPr>
          <w:rFonts w:ascii="Times New Roman" w:hAnsi="Times New Roman" w:cs="Times New Roman"/>
          <w:sz w:val="28"/>
          <w:szCs w:val="28"/>
          <w:lang w:val="uk-UA"/>
        </w:rPr>
        <w:t xml:space="preserve"> Melitopol region, archaeological heritage, archaeological sites, Kamyana Mohyla, Melitopol mound, Northern Azov region, Scythian culture, mounds, cultural landscape, archaeological research.</w:t>
      </w:r>
    </w:p>
    <w:p w:rsidR="005F1E11" w:rsidRPr="00D81782" w:rsidRDefault="005F1E11" w:rsidP="00D81782">
      <w:pPr>
        <w:pStyle w:val="ae"/>
        <w:spacing w:line="360" w:lineRule="auto"/>
        <w:jc w:val="both"/>
        <w:rPr>
          <w:rFonts w:ascii="Times New Roman" w:hAnsi="Times New Roman" w:cs="Times New Roman"/>
          <w:b/>
          <w:sz w:val="28"/>
          <w:szCs w:val="28"/>
          <w:lang w:val="uk-UA"/>
        </w:rPr>
      </w:pPr>
    </w:p>
    <w:p w:rsidR="005F1E11" w:rsidRPr="00D81782" w:rsidRDefault="00353B6D" w:rsidP="00D81782">
      <w:pPr>
        <w:spacing w:after="0" w:line="360" w:lineRule="auto"/>
        <w:jc w:val="both"/>
        <w:rPr>
          <w:rFonts w:ascii="Times New Roman" w:hAnsi="Times New Roman"/>
          <w:sz w:val="28"/>
          <w:szCs w:val="28"/>
        </w:rPr>
      </w:pPr>
      <w:r w:rsidRPr="00D81782">
        <w:rPr>
          <w:rFonts w:ascii="Times New Roman" w:hAnsi="Times New Roman" w:cs="Times New Roman"/>
          <w:b/>
          <w:sz w:val="28"/>
          <w:szCs w:val="28"/>
        </w:rPr>
        <w:t>Олександер Ситник</w:t>
      </w:r>
    </w:p>
    <w:p w:rsidR="005F1E11" w:rsidRPr="00D81782" w:rsidRDefault="00D81782" w:rsidP="00D81782">
      <w:pPr>
        <w:pStyle w:val="ae"/>
        <w:spacing w:line="360" w:lineRule="auto"/>
        <w:jc w:val="both"/>
        <w:rPr>
          <w:sz w:val="28"/>
          <w:szCs w:val="28"/>
        </w:rPr>
      </w:pPr>
      <w:hyperlink r:id="rId7">
        <w:r w:rsidR="00353B6D" w:rsidRPr="00D81782">
          <w:rPr>
            <w:rFonts w:ascii="Times New Roman" w:hAnsi="Times New Roman" w:cs="Times New Roman"/>
            <w:sz w:val="28"/>
            <w:szCs w:val="28"/>
            <w:lang w:val="uk-UA"/>
          </w:rPr>
          <w:t>https://orcid.org/0000-0002-9168-4123</w:t>
        </w:r>
      </w:hyperlink>
      <w:r w:rsidR="00353B6D" w:rsidRPr="00D81782">
        <w:rPr>
          <w:rFonts w:ascii="Times New Roman" w:hAnsi="Times New Roman" w:cs="Times New Roman"/>
          <w:sz w:val="28"/>
          <w:szCs w:val="28"/>
          <w:lang w:val="uk-UA"/>
        </w:rPr>
        <w:t>,</w:t>
      </w:r>
    </w:p>
    <w:p w:rsidR="005F1E11" w:rsidRPr="00D81782" w:rsidRDefault="00353B6D" w:rsidP="00D81782">
      <w:pPr>
        <w:spacing w:after="0" w:line="360" w:lineRule="auto"/>
        <w:jc w:val="both"/>
        <w:rPr>
          <w:rFonts w:ascii="Times New Roman" w:hAnsi="Times New Roman"/>
          <w:sz w:val="28"/>
          <w:szCs w:val="28"/>
        </w:rPr>
      </w:pPr>
      <w:r w:rsidRPr="00D81782">
        <w:rPr>
          <w:rFonts w:ascii="Times New Roman" w:hAnsi="Times New Roman" w:cs="Times New Roman"/>
          <w:sz w:val="28"/>
          <w:szCs w:val="28"/>
        </w:rPr>
        <w:t xml:space="preserve">доктор історичних наук, професор, </w:t>
      </w:r>
    </w:p>
    <w:p w:rsidR="005F1E11" w:rsidRPr="00D81782" w:rsidRDefault="00353B6D" w:rsidP="00D81782">
      <w:pPr>
        <w:spacing w:after="0" w:line="360" w:lineRule="auto"/>
        <w:jc w:val="both"/>
        <w:rPr>
          <w:rFonts w:ascii="Times New Roman" w:hAnsi="Times New Roman"/>
          <w:sz w:val="28"/>
          <w:szCs w:val="28"/>
        </w:rPr>
      </w:pPr>
      <w:r w:rsidRPr="00D81782">
        <w:rPr>
          <w:rFonts w:ascii="Times New Roman" w:hAnsi="Times New Roman" w:cs="Times New Roman"/>
          <w:sz w:val="28"/>
          <w:szCs w:val="28"/>
        </w:rPr>
        <w:t xml:space="preserve">професор кафедри історії та археології </w:t>
      </w:r>
    </w:p>
    <w:p w:rsidR="005F1E11" w:rsidRPr="00D81782" w:rsidRDefault="00353B6D" w:rsidP="00D81782">
      <w:pPr>
        <w:spacing w:after="0" w:line="360" w:lineRule="auto"/>
        <w:jc w:val="both"/>
        <w:rPr>
          <w:rFonts w:ascii="Times New Roman" w:hAnsi="Times New Roman"/>
          <w:sz w:val="28"/>
          <w:szCs w:val="28"/>
        </w:rPr>
      </w:pPr>
      <w:r w:rsidRPr="00D81782">
        <w:rPr>
          <w:rFonts w:ascii="Times New Roman" w:hAnsi="Times New Roman" w:cs="Times New Roman"/>
          <w:sz w:val="28"/>
          <w:szCs w:val="28"/>
        </w:rPr>
        <w:t xml:space="preserve">Мелітопольського державного університету </w:t>
      </w:r>
    </w:p>
    <w:p w:rsidR="005F1E11" w:rsidRPr="00D81782" w:rsidRDefault="00353B6D" w:rsidP="00D81782">
      <w:pPr>
        <w:pStyle w:val="ae"/>
        <w:spacing w:line="360" w:lineRule="auto"/>
        <w:jc w:val="both"/>
        <w:rPr>
          <w:rFonts w:ascii="Times New Roman" w:hAnsi="Times New Roman"/>
          <w:sz w:val="28"/>
          <w:szCs w:val="28"/>
          <w:lang w:val="uk-UA"/>
        </w:rPr>
      </w:pPr>
      <w:r w:rsidRPr="00D81782">
        <w:rPr>
          <w:rFonts w:ascii="Times New Roman" w:hAnsi="Times New Roman" w:cs="Times New Roman"/>
          <w:sz w:val="28"/>
          <w:szCs w:val="28"/>
          <w:lang w:val="uk-UA"/>
        </w:rPr>
        <w:t xml:space="preserve">імені Богдана Хмельницького </w:t>
      </w:r>
    </w:p>
    <w:p w:rsidR="005F1E11" w:rsidRPr="00D81782" w:rsidRDefault="00353B6D" w:rsidP="00D81782">
      <w:pPr>
        <w:pStyle w:val="ae"/>
        <w:spacing w:line="360" w:lineRule="auto"/>
        <w:jc w:val="both"/>
        <w:rPr>
          <w:sz w:val="28"/>
          <w:szCs w:val="28"/>
        </w:rPr>
      </w:pPr>
      <w:r w:rsidRPr="00D81782">
        <w:rPr>
          <w:rFonts w:ascii="Times New Roman" w:hAnsi="Times New Roman" w:cs="Times New Roman"/>
          <w:sz w:val="28"/>
          <w:szCs w:val="28"/>
          <w:lang w:val="uk-UA"/>
        </w:rPr>
        <w:t xml:space="preserve">(Запоріжжя, Україна) </w:t>
      </w:r>
      <w:hyperlink r:id="rId8">
        <w:r w:rsidRPr="00D81782">
          <w:rPr>
            <w:rFonts w:ascii="Times New Roman" w:hAnsi="Times New Roman" w:cs="Times New Roman"/>
            <w:sz w:val="28"/>
            <w:szCs w:val="28"/>
            <w:lang w:val="uk-UA"/>
          </w:rPr>
          <w:t>oleksander_sytnyk@i.ua</w:t>
        </w:r>
      </w:hyperlink>
    </w:p>
    <w:p w:rsidR="005F1E11" w:rsidRPr="00D81782" w:rsidRDefault="005F1E11" w:rsidP="00D81782">
      <w:pPr>
        <w:pStyle w:val="ae"/>
        <w:spacing w:line="360" w:lineRule="auto"/>
        <w:jc w:val="both"/>
        <w:rPr>
          <w:rFonts w:ascii="Times New Roman" w:hAnsi="Times New Roman" w:cs="Times New Roman"/>
          <w:sz w:val="28"/>
          <w:szCs w:val="28"/>
          <w:lang w:val="uk-UA"/>
        </w:rPr>
      </w:pPr>
    </w:p>
    <w:p w:rsidR="005F1E11" w:rsidRPr="00D81782" w:rsidRDefault="00353B6D" w:rsidP="00D81782">
      <w:pPr>
        <w:spacing w:after="0" w:line="360" w:lineRule="auto"/>
        <w:jc w:val="both"/>
        <w:rPr>
          <w:rFonts w:ascii="Times New Roman" w:hAnsi="Times New Roman"/>
          <w:sz w:val="28"/>
          <w:szCs w:val="28"/>
        </w:rPr>
      </w:pPr>
      <w:r w:rsidRPr="00D81782">
        <w:rPr>
          <w:rFonts w:ascii="Times New Roman" w:hAnsi="Times New Roman" w:cs="Times New Roman"/>
          <w:b/>
          <w:sz w:val="28"/>
          <w:szCs w:val="28"/>
        </w:rPr>
        <w:t>Ольга Горбова</w:t>
      </w:r>
    </w:p>
    <w:p w:rsidR="005F1E11" w:rsidRPr="00D81782" w:rsidRDefault="00D81782" w:rsidP="00D81782">
      <w:pPr>
        <w:spacing w:after="0" w:line="360" w:lineRule="auto"/>
        <w:jc w:val="both"/>
        <w:rPr>
          <w:rFonts w:ascii="Times New Roman" w:hAnsi="Times New Roman"/>
          <w:sz w:val="28"/>
          <w:szCs w:val="28"/>
        </w:rPr>
      </w:pPr>
      <w:hyperlink r:id="rId9">
        <w:r w:rsidR="00353B6D" w:rsidRPr="00D81782">
          <w:rPr>
            <w:rFonts w:ascii="Times New Roman" w:hAnsi="Times New Roman" w:cs="Times New Roman"/>
            <w:sz w:val="28"/>
            <w:szCs w:val="28"/>
          </w:rPr>
          <w:t>https://orcid.org/0009-0003-7968-2090</w:t>
        </w:r>
      </w:hyperlink>
      <w:hyperlink>
        <w:r w:rsidR="00353B6D" w:rsidRPr="00D81782">
          <w:rPr>
            <w:rFonts w:ascii="Times New Roman" w:hAnsi="Times New Roman" w:cs="Times New Roman"/>
            <w:sz w:val="28"/>
            <w:szCs w:val="28"/>
          </w:rPr>
          <w:t xml:space="preserve"> </w:t>
        </w:r>
      </w:hyperlink>
    </w:p>
    <w:p w:rsidR="005F1E11" w:rsidRPr="00D81782" w:rsidRDefault="00353B6D" w:rsidP="00D81782">
      <w:pPr>
        <w:spacing w:after="0" w:line="360" w:lineRule="auto"/>
        <w:jc w:val="both"/>
        <w:rPr>
          <w:rFonts w:ascii="Times New Roman" w:hAnsi="Times New Roman"/>
          <w:sz w:val="28"/>
          <w:szCs w:val="28"/>
        </w:rPr>
      </w:pPr>
      <w:r w:rsidRPr="00D81782">
        <w:rPr>
          <w:rFonts w:ascii="Times New Roman" w:hAnsi="Times New Roman" w:cs="Times New Roman"/>
          <w:sz w:val="28"/>
          <w:szCs w:val="28"/>
        </w:rPr>
        <w:t xml:space="preserve">аспірантка кафедри історії та археології </w:t>
      </w:r>
    </w:p>
    <w:p w:rsidR="005F1E11" w:rsidRPr="00D81782" w:rsidRDefault="00353B6D" w:rsidP="00D81782">
      <w:pPr>
        <w:spacing w:after="0" w:line="360" w:lineRule="auto"/>
        <w:jc w:val="both"/>
        <w:rPr>
          <w:rFonts w:ascii="Times New Roman" w:hAnsi="Times New Roman"/>
          <w:sz w:val="28"/>
          <w:szCs w:val="28"/>
        </w:rPr>
      </w:pPr>
      <w:r w:rsidRPr="00D81782">
        <w:rPr>
          <w:rFonts w:ascii="Times New Roman" w:hAnsi="Times New Roman" w:cs="Times New Roman"/>
          <w:sz w:val="28"/>
          <w:szCs w:val="28"/>
        </w:rPr>
        <w:t xml:space="preserve">Мелітопольського державного університету </w:t>
      </w:r>
    </w:p>
    <w:p w:rsidR="005F1E11" w:rsidRPr="00D81782" w:rsidRDefault="00353B6D" w:rsidP="00D81782">
      <w:pPr>
        <w:spacing w:after="0" w:line="360" w:lineRule="auto"/>
        <w:jc w:val="both"/>
        <w:rPr>
          <w:rFonts w:ascii="Times New Roman" w:hAnsi="Times New Roman"/>
          <w:sz w:val="28"/>
          <w:szCs w:val="28"/>
        </w:rPr>
      </w:pPr>
      <w:r w:rsidRPr="00D81782">
        <w:rPr>
          <w:rFonts w:ascii="Times New Roman" w:hAnsi="Times New Roman" w:cs="Times New Roman"/>
          <w:sz w:val="28"/>
          <w:szCs w:val="28"/>
        </w:rPr>
        <w:t xml:space="preserve">імені Богдана Хмельницького </w:t>
      </w:r>
    </w:p>
    <w:p w:rsidR="005F1E11" w:rsidRPr="00D81782" w:rsidRDefault="00353B6D" w:rsidP="00D81782">
      <w:pPr>
        <w:pStyle w:val="ae"/>
        <w:spacing w:line="360" w:lineRule="auto"/>
        <w:jc w:val="both"/>
        <w:rPr>
          <w:rFonts w:ascii="Times New Roman" w:hAnsi="Times New Roman"/>
          <w:sz w:val="28"/>
          <w:szCs w:val="28"/>
          <w:lang w:val="uk-UA"/>
        </w:rPr>
      </w:pPr>
      <w:r w:rsidRPr="00D81782">
        <w:rPr>
          <w:rFonts w:ascii="Times New Roman" w:hAnsi="Times New Roman"/>
          <w:sz w:val="28"/>
          <w:szCs w:val="28"/>
          <w:lang w:val="uk-UA"/>
        </w:rPr>
        <w:t xml:space="preserve">(Запоріжжя, Україна) </w:t>
      </w:r>
      <w:hyperlink r:id="rId10">
        <w:r w:rsidRPr="00D81782">
          <w:rPr>
            <w:rFonts w:ascii="Times New Roman" w:hAnsi="Times New Roman"/>
            <w:sz w:val="28"/>
            <w:szCs w:val="28"/>
            <w:lang w:val="uk-UA"/>
          </w:rPr>
          <w:t>gorbovaolga279@gmail.com</w:t>
        </w:r>
      </w:hyperlink>
      <w:hyperlink>
        <w:r w:rsidRPr="00D81782">
          <w:rPr>
            <w:rFonts w:ascii="Times New Roman" w:hAnsi="Times New Roman"/>
            <w:sz w:val="28"/>
            <w:szCs w:val="28"/>
            <w:lang w:val="uk-UA"/>
          </w:rPr>
          <w:t xml:space="preserve"> </w:t>
        </w:r>
      </w:hyperlink>
    </w:p>
    <w:p w:rsidR="009D5A05" w:rsidRPr="00D81782" w:rsidRDefault="009D5A05" w:rsidP="00D81782">
      <w:pPr>
        <w:pStyle w:val="ae"/>
        <w:spacing w:line="360" w:lineRule="auto"/>
        <w:jc w:val="both"/>
        <w:rPr>
          <w:rFonts w:ascii="Times New Roman" w:hAnsi="Times New Roman"/>
          <w:sz w:val="28"/>
          <w:szCs w:val="28"/>
          <w:lang w:val="uk-UA"/>
        </w:rPr>
      </w:pPr>
    </w:p>
    <w:p w:rsidR="009D5A05" w:rsidRPr="00D81782" w:rsidRDefault="009D5A05" w:rsidP="00D81782">
      <w:pPr>
        <w:pStyle w:val="ae"/>
        <w:spacing w:line="360" w:lineRule="auto"/>
        <w:jc w:val="both"/>
        <w:rPr>
          <w:rFonts w:ascii="Times New Roman" w:hAnsi="Times New Roman" w:cs="Times New Roman"/>
          <w:b/>
          <w:sz w:val="28"/>
          <w:szCs w:val="28"/>
        </w:rPr>
      </w:pPr>
      <w:r w:rsidRPr="00D81782">
        <w:rPr>
          <w:rFonts w:ascii="Times New Roman" w:hAnsi="Times New Roman" w:cs="Times New Roman"/>
          <w:b/>
          <w:sz w:val="28"/>
          <w:szCs w:val="28"/>
        </w:rPr>
        <w:t xml:space="preserve">Михайло Смілик  </w:t>
      </w:r>
    </w:p>
    <w:p w:rsidR="009D5A05" w:rsidRPr="00D81782" w:rsidRDefault="009D5A05" w:rsidP="00D81782">
      <w:pPr>
        <w:pStyle w:val="ae"/>
        <w:spacing w:line="360" w:lineRule="auto"/>
        <w:jc w:val="both"/>
        <w:rPr>
          <w:rFonts w:ascii="Times New Roman" w:hAnsi="Times New Roman" w:cs="Times New Roman"/>
          <w:sz w:val="28"/>
          <w:szCs w:val="28"/>
        </w:rPr>
      </w:pPr>
      <w:r w:rsidRPr="00D81782">
        <w:rPr>
          <w:rFonts w:ascii="Times New Roman" w:hAnsi="Times New Roman" w:cs="Times New Roman"/>
          <w:sz w:val="28"/>
          <w:szCs w:val="28"/>
        </w:rPr>
        <w:t>магі</w:t>
      </w:r>
      <w:proofErr w:type="gramStart"/>
      <w:r w:rsidRPr="00D81782">
        <w:rPr>
          <w:rFonts w:ascii="Times New Roman" w:hAnsi="Times New Roman" w:cs="Times New Roman"/>
          <w:sz w:val="28"/>
          <w:szCs w:val="28"/>
        </w:rPr>
        <w:t>стр</w:t>
      </w:r>
      <w:proofErr w:type="gramEnd"/>
      <w:r w:rsidRPr="00D81782">
        <w:rPr>
          <w:rFonts w:ascii="Times New Roman" w:hAnsi="Times New Roman" w:cs="Times New Roman"/>
          <w:sz w:val="28"/>
          <w:szCs w:val="28"/>
        </w:rPr>
        <w:t xml:space="preserve"> </w:t>
      </w:r>
    </w:p>
    <w:p w:rsidR="009D5A05" w:rsidRPr="00D81782" w:rsidRDefault="009D5A05" w:rsidP="00D81782">
      <w:pPr>
        <w:pStyle w:val="ae"/>
        <w:spacing w:line="360" w:lineRule="auto"/>
        <w:jc w:val="both"/>
        <w:rPr>
          <w:rFonts w:ascii="Times New Roman" w:hAnsi="Times New Roman" w:cs="Times New Roman"/>
          <w:sz w:val="28"/>
          <w:szCs w:val="28"/>
        </w:rPr>
      </w:pPr>
      <w:r w:rsidRPr="00D81782">
        <w:rPr>
          <w:rFonts w:ascii="Times New Roman" w:hAnsi="Times New Roman" w:cs="Times New Roman"/>
          <w:sz w:val="28"/>
          <w:szCs w:val="28"/>
        </w:rPr>
        <w:t xml:space="preserve">Ніжинського державного університету  </w:t>
      </w:r>
    </w:p>
    <w:p w:rsidR="009D5A05" w:rsidRPr="00D81782" w:rsidRDefault="009D5A05" w:rsidP="00D81782">
      <w:pPr>
        <w:pStyle w:val="ae"/>
        <w:spacing w:line="360" w:lineRule="auto"/>
        <w:jc w:val="both"/>
        <w:rPr>
          <w:rFonts w:ascii="Times New Roman" w:hAnsi="Times New Roman" w:cs="Times New Roman"/>
          <w:sz w:val="28"/>
          <w:szCs w:val="28"/>
        </w:rPr>
      </w:pPr>
      <w:bookmarkStart w:id="0" w:name="_GoBack"/>
      <w:r w:rsidRPr="00D81782">
        <w:rPr>
          <w:rFonts w:ascii="Times New Roman" w:hAnsi="Times New Roman" w:cs="Times New Roman"/>
          <w:sz w:val="28"/>
          <w:szCs w:val="28"/>
        </w:rPr>
        <w:lastRenderedPageBreak/>
        <w:t xml:space="preserve">імені Миколи Гоголя </w:t>
      </w:r>
    </w:p>
    <w:bookmarkEnd w:id="0"/>
    <w:p w:rsidR="009D5A05" w:rsidRPr="00D81782" w:rsidRDefault="009D5A05" w:rsidP="00D81782">
      <w:pPr>
        <w:pStyle w:val="ae"/>
        <w:spacing w:line="360" w:lineRule="auto"/>
        <w:jc w:val="both"/>
        <w:rPr>
          <w:rFonts w:ascii="Times New Roman" w:hAnsi="Times New Roman" w:cs="Times New Roman"/>
          <w:sz w:val="28"/>
          <w:szCs w:val="28"/>
        </w:rPr>
      </w:pPr>
      <w:r w:rsidRPr="00D81782">
        <w:rPr>
          <w:rFonts w:ascii="Times New Roman" w:hAnsi="Times New Roman" w:cs="Times New Roman"/>
          <w:sz w:val="28"/>
          <w:szCs w:val="28"/>
        </w:rPr>
        <w:t xml:space="preserve">(Ніжин, Україна) mishasmilyk2k@gmail.com </w:t>
      </w:r>
    </w:p>
    <w:p w:rsidR="005F1E11" w:rsidRPr="00D81782" w:rsidRDefault="005F1E11" w:rsidP="00D81782">
      <w:pPr>
        <w:pStyle w:val="ae"/>
        <w:spacing w:line="360" w:lineRule="auto"/>
        <w:jc w:val="both"/>
        <w:rPr>
          <w:sz w:val="28"/>
          <w:szCs w:val="28"/>
        </w:rPr>
      </w:pPr>
    </w:p>
    <w:p w:rsidR="005F1E11" w:rsidRPr="00D81782" w:rsidRDefault="00353B6D" w:rsidP="00D81782">
      <w:pPr>
        <w:spacing w:after="0" w:line="360" w:lineRule="auto"/>
        <w:jc w:val="both"/>
        <w:rPr>
          <w:rFonts w:ascii="Times New Roman" w:hAnsi="Times New Roman"/>
          <w:sz w:val="28"/>
          <w:szCs w:val="28"/>
        </w:rPr>
      </w:pPr>
      <w:r w:rsidRPr="00D81782">
        <w:rPr>
          <w:rFonts w:ascii="Times New Roman" w:hAnsi="Times New Roman" w:cs="Times New Roman"/>
          <w:b/>
          <w:sz w:val="28"/>
          <w:szCs w:val="28"/>
        </w:rPr>
        <w:t>Olexander</w:t>
      </w:r>
      <w:r w:rsidRPr="00D81782">
        <w:rPr>
          <w:rFonts w:ascii="Times New Roman" w:hAnsi="Times New Roman" w:cs="Times New Roman"/>
          <w:b/>
          <w:bCs/>
          <w:sz w:val="28"/>
          <w:szCs w:val="28"/>
        </w:rPr>
        <w:t xml:space="preserve"> Sytnyk</w:t>
      </w:r>
    </w:p>
    <w:p w:rsidR="005F1E11" w:rsidRPr="00D81782" w:rsidRDefault="00353B6D" w:rsidP="00D81782">
      <w:pPr>
        <w:spacing w:after="0" w:line="360" w:lineRule="auto"/>
        <w:jc w:val="both"/>
        <w:rPr>
          <w:rFonts w:ascii="Times New Roman" w:hAnsi="Times New Roman"/>
          <w:sz w:val="28"/>
          <w:szCs w:val="28"/>
        </w:rPr>
      </w:pPr>
      <w:r w:rsidRPr="00D81782">
        <w:rPr>
          <w:rFonts w:ascii="Times New Roman" w:hAnsi="Times New Roman" w:cs="Times New Roman"/>
          <w:sz w:val="28"/>
          <w:szCs w:val="28"/>
        </w:rPr>
        <w:t>https://orcid.org/0000-0001-7743-8148</w:t>
      </w:r>
    </w:p>
    <w:p w:rsidR="005F1E11" w:rsidRPr="00D81782" w:rsidRDefault="00353B6D" w:rsidP="00D81782">
      <w:pPr>
        <w:spacing w:after="0" w:line="360" w:lineRule="auto"/>
        <w:jc w:val="both"/>
        <w:rPr>
          <w:rFonts w:ascii="Times New Roman" w:hAnsi="Times New Roman"/>
          <w:sz w:val="28"/>
          <w:szCs w:val="28"/>
        </w:rPr>
      </w:pPr>
      <w:r w:rsidRPr="00D81782">
        <w:rPr>
          <w:rFonts w:ascii="Times New Roman" w:hAnsi="Times New Roman" w:cs="Times New Roman"/>
          <w:sz w:val="28"/>
          <w:szCs w:val="28"/>
        </w:rPr>
        <w:t xml:space="preserve">Doctor Habilitatus in History, Professor, </w:t>
      </w:r>
    </w:p>
    <w:p w:rsidR="005F1E11" w:rsidRPr="00D81782" w:rsidRDefault="00353B6D" w:rsidP="00D81782">
      <w:pPr>
        <w:spacing w:after="0" w:line="360" w:lineRule="auto"/>
        <w:jc w:val="both"/>
        <w:rPr>
          <w:rFonts w:ascii="Times New Roman" w:hAnsi="Times New Roman"/>
          <w:sz w:val="28"/>
          <w:szCs w:val="28"/>
        </w:rPr>
      </w:pPr>
      <w:r w:rsidRPr="00D81782">
        <w:rPr>
          <w:rFonts w:ascii="Times New Roman" w:hAnsi="Times New Roman" w:cs="Times New Roman"/>
          <w:sz w:val="28"/>
          <w:szCs w:val="28"/>
        </w:rPr>
        <w:t xml:space="preserve">Professor of the Department of History and Archeology, </w:t>
      </w:r>
    </w:p>
    <w:p w:rsidR="005F1E11" w:rsidRPr="00D81782" w:rsidRDefault="00353B6D" w:rsidP="00D81782">
      <w:pPr>
        <w:spacing w:after="0" w:line="360" w:lineRule="auto"/>
        <w:jc w:val="both"/>
        <w:rPr>
          <w:rFonts w:ascii="Times New Roman" w:hAnsi="Times New Roman"/>
          <w:sz w:val="28"/>
          <w:szCs w:val="28"/>
        </w:rPr>
      </w:pPr>
      <w:r w:rsidRPr="00D81782">
        <w:rPr>
          <w:rFonts w:ascii="Times New Roman" w:hAnsi="Times New Roman" w:cs="Times New Roman"/>
          <w:sz w:val="28"/>
          <w:szCs w:val="28"/>
        </w:rPr>
        <w:t>Bogdan Khmelnytsky Melitopol State Pedagogical University</w:t>
      </w:r>
    </w:p>
    <w:p w:rsidR="005F1E11" w:rsidRPr="00D81782" w:rsidRDefault="00353B6D" w:rsidP="00D81782">
      <w:pPr>
        <w:pStyle w:val="ae"/>
        <w:spacing w:line="360" w:lineRule="auto"/>
        <w:jc w:val="both"/>
        <w:rPr>
          <w:sz w:val="28"/>
          <w:szCs w:val="28"/>
          <w:lang w:val="en-US"/>
        </w:rPr>
      </w:pPr>
      <w:r w:rsidRPr="00D81782">
        <w:rPr>
          <w:rFonts w:ascii="Times New Roman" w:hAnsi="Times New Roman" w:cs="Times New Roman"/>
          <w:sz w:val="28"/>
          <w:szCs w:val="28"/>
          <w:lang w:val="uk-UA"/>
        </w:rPr>
        <w:t xml:space="preserve">(Zaporizhzhya, Ukraine) </w:t>
      </w:r>
      <w:hyperlink r:id="rId11">
        <w:r w:rsidRPr="00D81782">
          <w:rPr>
            <w:rFonts w:ascii="Times New Roman" w:hAnsi="Times New Roman" w:cs="Times New Roman"/>
            <w:sz w:val="28"/>
            <w:szCs w:val="28"/>
            <w:lang w:val="uk-UA"/>
          </w:rPr>
          <w:t>oleksander_sytnyk@i.ua</w:t>
        </w:r>
      </w:hyperlink>
    </w:p>
    <w:p w:rsidR="005F1E11" w:rsidRPr="00D81782" w:rsidRDefault="005F1E11" w:rsidP="00D81782">
      <w:pPr>
        <w:pStyle w:val="ae"/>
        <w:spacing w:line="360" w:lineRule="auto"/>
        <w:jc w:val="both"/>
        <w:rPr>
          <w:rFonts w:ascii="Times New Roman" w:hAnsi="Times New Roman" w:cs="Times New Roman"/>
          <w:sz w:val="28"/>
          <w:szCs w:val="28"/>
          <w:lang w:val="uk-UA"/>
        </w:rPr>
      </w:pPr>
    </w:p>
    <w:p w:rsidR="005F1E11" w:rsidRPr="00D81782" w:rsidRDefault="00353B6D" w:rsidP="00D81782">
      <w:pPr>
        <w:pStyle w:val="ae"/>
        <w:spacing w:line="360" w:lineRule="auto"/>
        <w:jc w:val="both"/>
        <w:rPr>
          <w:rFonts w:ascii="Times New Roman" w:hAnsi="Times New Roman"/>
          <w:sz w:val="28"/>
          <w:szCs w:val="28"/>
          <w:lang w:val="en-US"/>
        </w:rPr>
      </w:pPr>
      <w:r w:rsidRPr="00D81782">
        <w:rPr>
          <w:rFonts w:ascii="Times New Roman" w:hAnsi="Times New Roman" w:cs="Times New Roman"/>
          <w:b/>
          <w:sz w:val="28"/>
          <w:szCs w:val="28"/>
          <w:lang w:val="en-US"/>
        </w:rPr>
        <w:t>Olha Horbova</w:t>
      </w:r>
    </w:p>
    <w:p w:rsidR="005F1E11" w:rsidRPr="00D81782" w:rsidRDefault="00D81782" w:rsidP="00D81782">
      <w:pPr>
        <w:spacing w:after="0" w:line="360" w:lineRule="auto"/>
        <w:jc w:val="both"/>
        <w:rPr>
          <w:rFonts w:ascii="Times New Roman" w:hAnsi="Times New Roman"/>
          <w:sz w:val="28"/>
          <w:szCs w:val="28"/>
        </w:rPr>
      </w:pPr>
      <w:hyperlink r:id="rId12">
        <w:r w:rsidR="00353B6D" w:rsidRPr="00D81782">
          <w:rPr>
            <w:rFonts w:ascii="Times New Roman" w:hAnsi="Times New Roman" w:cs="Times New Roman"/>
            <w:sz w:val="28"/>
            <w:szCs w:val="28"/>
          </w:rPr>
          <w:t>https://orcid.org/0009-0003-7968-2090</w:t>
        </w:r>
      </w:hyperlink>
      <w:hyperlink>
        <w:r w:rsidR="00353B6D" w:rsidRPr="00D81782">
          <w:rPr>
            <w:rFonts w:ascii="Times New Roman" w:hAnsi="Times New Roman" w:cs="Times New Roman"/>
            <w:sz w:val="28"/>
            <w:szCs w:val="28"/>
          </w:rPr>
          <w:t xml:space="preserve"> </w:t>
        </w:r>
      </w:hyperlink>
    </w:p>
    <w:p w:rsidR="005F1E11" w:rsidRPr="00D81782" w:rsidRDefault="00353B6D" w:rsidP="00D81782">
      <w:pPr>
        <w:spacing w:after="0" w:line="360" w:lineRule="auto"/>
        <w:contextualSpacing/>
        <w:jc w:val="both"/>
        <w:rPr>
          <w:sz w:val="28"/>
          <w:szCs w:val="28"/>
        </w:rPr>
      </w:pPr>
      <w:r w:rsidRPr="00D81782">
        <w:rPr>
          <w:rFonts w:ascii="Times New Roman" w:hAnsi="Times New Roman" w:cs="Times New Roman"/>
          <w:sz w:val="28"/>
          <w:szCs w:val="28"/>
        </w:rPr>
        <w:t xml:space="preserve">Postgraduate student of the Department of History and Archaeology, </w:t>
      </w:r>
    </w:p>
    <w:p w:rsidR="005F1E11" w:rsidRPr="00D81782" w:rsidRDefault="00353B6D" w:rsidP="00D81782">
      <w:pPr>
        <w:spacing w:after="0" w:line="360" w:lineRule="auto"/>
        <w:contextualSpacing/>
        <w:jc w:val="both"/>
        <w:rPr>
          <w:sz w:val="28"/>
          <w:szCs w:val="28"/>
        </w:rPr>
      </w:pPr>
      <w:r w:rsidRPr="00D81782">
        <w:rPr>
          <w:rFonts w:ascii="Times New Roman" w:hAnsi="Times New Roman" w:cs="Times New Roman"/>
          <w:sz w:val="28"/>
          <w:szCs w:val="28"/>
        </w:rPr>
        <w:t>Bohdan Khmelnytsky Melitopol State Pedagogical University</w:t>
      </w:r>
    </w:p>
    <w:p w:rsidR="005F1E11" w:rsidRPr="00D81782" w:rsidRDefault="00353B6D" w:rsidP="00D81782">
      <w:pPr>
        <w:pStyle w:val="ae"/>
        <w:spacing w:line="360" w:lineRule="auto"/>
        <w:jc w:val="both"/>
        <w:rPr>
          <w:rFonts w:ascii="Times New Roman" w:hAnsi="Times New Roman"/>
          <w:sz w:val="28"/>
          <w:szCs w:val="28"/>
          <w:lang w:val="uk-UA"/>
        </w:rPr>
      </w:pPr>
      <w:r w:rsidRPr="00D81782">
        <w:rPr>
          <w:rFonts w:ascii="Times New Roman" w:hAnsi="Times New Roman"/>
          <w:sz w:val="28"/>
          <w:szCs w:val="28"/>
          <w:lang w:val="en-US"/>
        </w:rPr>
        <w:t xml:space="preserve">(Zaporizhzhya, Ukraine) </w:t>
      </w:r>
      <w:hyperlink r:id="rId13">
        <w:r w:rsidRPr="00D81782">
          <w:rPr>
            <w:rFonts w:ascii="Times New Roman" w:hAnsi="Times New Roman"/>
            <w:sz w:val="28"/>
            <w:szCs w:val="28"/>
            <w:lang w:val="uk-UA"/>
          </w:rPr>
          <w:t>gorbovaolga279@gmail.com</w:t>
        </w:r>
      </w:hyperlink>
    </w:p>
    <w:p w:rsidR="009D5A05" w:rsidRPr="00D81782" w:rsidRDefault="009D5A05" w:rsidP="00D81782">
      <w:pPr>
        <w:pStyle w:val="ae"/>
        <w:spacing w:line="360" w:lineRule="auto"/>
        <w:jc w:val="both"/>
        <w:rPr>
          <w:rFonts w:ascii="Times New Roman" w:hAnsi="Times New Roman"/>
          <w:sz w:val="28"/>
          <w:szCs w:val="28"/>
          <w:lang w:val="uk-UA"/>
        </w:rPr>
      </w:pPr>
    </w:p>
    <w:p w:rsidR="009D5A05" w:rsidRPr="00D81782" w:rsidRDefault="009D5A05" w:rsidP="00D81782">
      <w:pPr>
        <w:pStyle w:val="ae"/>
        <w:spacing w:line="360" w:lineRule="auto"/>
        <w:jc w:val="both"/>
        <w:rPr>
          <w:rFonts w:ascii="Times New Roman" w:hAnsi="Times New Roman" w:cs="Times New Roman"/>
          <w:b/>
          <w:sz w:val="28"/>
          <w:szCs w:val="28"/>
          <w:lang w:val="en-US"/>
        </w:rPr>
      </w:pPr>
      <w:r w:rsidRPr="00D81782">
        <w:rPr>
          <w:rFonts w:ascii="Times New Roman" w:hAnsi="Times New Roman" w:cs="Times New Roman"/>
          <w:b/>
          <w:sz w:val="28"/>
          <w:szCs w:val="28"/>
          <w:lang w:val="en-US"/>
        </w:rPr>
        <w:t xml:space="preserve">Mykhailo Smilyk  </w:t>
      </w:r>
    </w:p>
    <w:p w:rsidR="009D5A05" w:rsidRPr="00D81782" w:rsidRDefault="009D5A05" w:rsidP="00D81782">
      <w:pPr>
        <w:pStyle w:val="ae"/>
        <w:spacing w:line="360" w:lineRule="auto"/>
        <w:jc w:val="both"/>
        <w:rPr>
          <w:rFonts w:ascii="Times New Roman" w:hAnsi="Times New Roman" w:cs="Times New Roman"/>
          <w:sz w:val="28"/>
          <w:szCs w:val="28"/>
          <w:lang w:val="en-US"/>
        </w:rPr>
      </w:pPr>
      <w:r w:rsidRPr="00D81782">
        <w:rPr>
          <w:rFonts w:ascii="Times New Roman" w:hAnsi="Times New Roman" w:cs="Times New Roman"/>
          <w:sz w:val="28"/>
          <w:szCs w:val="28"/>
          <w:lang w:val="en-US"/>
        </w:rPr>
        <w:t xml:space="preserve">Master’s degree </w:t>
      </w:r>
    </w:p>
    <w:p w:rsidR="009D5A05" w:rsidRPr="00D81782" w:rsidRDefault="009D5A05" w:rsidP="00D81782">
      <w:pPr>
        <w:pStyle w:val="ae"/>
        <w:spacing w:line="360" w:lineRule="auto"/>
        <w:jc w:val="both"/>
        <w:rPr>
          <w:rFonts w:ascii="Times New Roman" w:hAnsi="Times New Roman" w:cs="Times New Roman"/>
          <w:sz w:val="28"/>
          <w:szCs w:val="28"/>
          <w:lang w:val="en-US"/>
        </w:rPr>
      </w:pPr>
      <w:r w:rsidRPr="00D81782">
        <w:rPr>
          <w:rFonts w:ascii="Times New Roman" w:hAnsi="Times New Roman" w:cs="Times New Roman"/>
          <w:sz w:val="28"/>
          <w:szCs w:val="28"/>
          <w:lang w:val="en-US"/>
        </w:rPr>
        <w:t xml:space="preserve">Nizhyn Gogol State University </w:t>
      </w:r>
    </w:p>
    <w:p w:rsidR="009D5A05" w:rsidRPr="00D81782" w:rsidRDefault="009D5A05" w:rsidP="00D81782">
      <w:pPr>
        <w:pStyle w:val="ae"/>
        <w:spacing w:line="360" w:lineRule="auto"/>
        <w:jc w:val="both"/>
        <w:rPr>
          <w:sz w:val="28"/>
          <w:szCs w:val="28"/>
        </w:rPr>
      </w:pPr>
      <w:r w:rsidRPr="00D81782">
        <w:rPr>
          <w:rFonts w:ascii="Times New Roman" w:hAnsi="Times New Roman" w:cs="Times New Roman"/>
          <w:sz w:val="28"/>
          <w:szCs w:val="28"/>
        </w:rPr>
        <w:t>(Nizhyn, Ukraine) mishasmilyk2k@gmail.com</w:t>
      </w:r>
    </w:p>
    <w:sectPr w:rsidR="009D5A05" w:rsidRPr="00D81782">
      <w:pgSz w:w="11906" w:h="16838"/>
      <w:pgMar w:top="1134" w:right="1134" w:bottom="1134"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6F045D"/>
    <w:multiLevelType w:val="multilevel"/>
    <w:tmpl w:val="068EEFA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4C9B282E"/>
    <w:multiLevelType w:val="multilevel"/>
    <w:tmpl w:val="4E0C8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39B7FF3"/>
    <w:multiLevelType w:val="multilevel"/>
    <w:tmpl w:val="AFE210B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nsid w:val="7F955618"/>
    <w:multiLevelType w:val="multilevel"/>
    <w:tmpl w:val="30FEC6F4"/>
    <w:lvl w:ilvl="0">
      <w:start w:val="1"/>
      <w:numFmt w:val="decimal"/>
      <w:lvlText w:val="%1."/>
      <w:lvlJc w:val="left"/>
      <w:pPr>
        <w:tabs>
          <w:tab w:val="num" w:pos="709"/>
        </w:tabs>
        <w:ind w:left="709" w:hanging="283"/>
      </w:pPr>
      <w:rPr>
        <w:rFonts w:ascii="Times New Roman" w:hAnsi="Times New Roman"/>
        <w:sz w:val="28"/>
        <w:szCs w:val="28"/>
      </w:rPr>
    </w:lvl>
    <w:lvl w:ilvl="1">
      <w:start w:val="1"/>
      <w:numFmt w:val="decimal"/>
      <w:lvlText w:val="%2."/>
      <w:lvlJc w:val="left"/>
      <w:pPr>
        <w:tabs>
          <w:tab w:val="num" w:pos="1418"/>
        </w:tabs>
        <w:ind w:left="1418" w:hanging="283"/>
      </w:pPr>
      <w:rPr>
        <w:rFonts w:ascii="Times New Roman" w:hAnsi="Times New Roman"/>
        <w:sz w:val="28"/>
        <w:szCs w:val="28"/>
      </w:rPr>
    </w:lvl>
    <w:lvl w:ilvl="2">
      <w:start w:val="1"/>
      <w:numFmt w:val="decimal"/>
      <w:lvlText w:val="%3."/>
      <w:lvlJc w:val="left"/>
      <w:pPr>
        <w:tabs>
          <w:tab w:val="num" w:pos="2127"/>
        </w:tabs>
        <w:ind w:left="2127" w:hanging="283"/>
      </w:pPr>
      <w:rPr>
        <w:rFonts w:ascii="Times New Roman" w:hAnsi="Times New Roman"/>
        <w:sz w:val="28"/>
        <w:szCs w:val="28"/>
      </w:rPr>
    </w:lvl>
    <w:lvl w:ilvl="3">
      <w:start w:val="1"/>
      <w:numFmt w:val="decimal"/>
      <w:lvlText w:val="%4."/>
      <w:lvlJc w:val="left"/>
      <w:pPr>
        <w:tabs>
          <w:tab w:val="num" w:pos="2836"/>
        </w:tabs>
        <w:ind w:left="2836" w:hanging="283"/>
      </w:pPr>
      <w:rPr>
        <w:rFonts w:ascii="Times New Roman" w:hAnsi="Times New Roman"/>
        <w:sz w:val="28"/>
        <w:szCs w:val="28"/>
      </w:rPr>
    </w:lvl>
    <w:lvl w:ilvl="4">
      <w:start w:val="1"/>
      <w:numFmt w:val="decimal"/>
      <w:lvlText w:val="%5."/>
      <w:lvlJc w:val="left"/>
      <w:pPr>
        <w:tabs>
          <w:tab w:val="num" w:pos="3545"/>
        </w:tabs>
        <w:ind w:left="3545" w:hanging="283"/>
      </w:pPr>
      <w:rPr>
        <w:rFonts w:ascii="Times New Roman" w:hAnsi="Times New Roman"/>
        <w:sz w:val="28"/>
        <w:szCs w:val="28"/>
      </w:rPr>
    </w:lvl>
    <w:lvl w:ilvl="5">
      <w:start w:val="1"/>
      <w:numFmt w:val="decimal"/>
      <w:lvlText w:val="%6."/>
      <w:lvlJc w:val="left"/>
      <w:pPr>
        <w:tabs>
          <w:tab w:val="num" w:pos="4254"/>
        </w:tabs>
        <w:ind w:left="4254" w:hanging="283"/>
      </w:pPr>
      <w:rPr>
        <w:rFonts w:ascii="Times New Roman" w:hAnsi="Times New Roman"/>
        <w:sz w:val="28"/>
        <w:szCs w:val="28"/>
      </w:rPr>
    </w:lvl>
    <w:lvl w:ilvl="6">
      <w:start w:val="1"/>
      <w:numFmt w:val="decimal"/>
      <w:lvlText w:val="%7."/>
      <w:lvlJc w:val="left"/>
      <w:pPr>
        <w:tabs>
          <w:tab w:val="num" w:pos="4963"/>
        </w:tabs>
        <w:ind w:left="4963" w:hanging="283"/>
      </w:pPr>
      <w:rPr>
        <w:rFonts w:ascii="Times New Roman" w:hAnsi="Times New Roman"/>
        <w:sz w:val="28"/>
        <w:szCs w:val="28"/>
      </w:rPr>
    </w:lvl>
    <w:lvl w:ilvl="7">
      <w:start w:val="1"/>
      <w:numFmt w:val="decimal"/>
      <w:lvlText w:val="%8."/>
      <w:lvlJc w:val="left"/>
      <w:pPr>
        <w:tabs>
          <w:tab w:val="num" w:pos="5672"/>
        </w:tabs>
        <w:ind w:left="5672" w:hanging="283"/>
      </w:pPr>
      <w:rPr>
        <w:rFonts w:ascii="Times New Roman" w:hAnsi="Times New Roman"/>
        <w:sz w:val="28"/>
        <w:szCs w:val="28"/>
      </w:rPr>
    </w:lvl>
    <w:lvl w:ilvl="8">
      <w:start w:val="1"/>
      <w:numFmt w:val="decimal"/>
      <w:lvlText w:val="%9."/>
      <w:lvlJc w:val="left"/>
      <w:pPr>
        <w:tabs>
          <w:tab w:val="num" w:pos="6381"/>
        </w:tabs>
        <w:ind w:left="6381" w:hanging="283"/>
      </w:pPr>
      <w:rPr>
        <w:rFonts w:ascii="Times New Roman" w:hAnsi="Times New Roman"/>
        <w:sz w:val="28"/>
        <w:szCs w:val="28"/>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3"/>
  <w:hideSpellingErrors/>
  <w:proofState w:grammar="clean"/>
  <w:defaultTabStop w:val="708"/>
  <w:autoHyphenation/>
  <w:hyphenationZone w:val="425"/>
  <w:characterSpacingControl w:val="doNotCompress"/>
  <w:compat>
    <w:compatSetting w:name="compatibilityMode" w:uri="http://schemas.microsoft.com/office/word" w:val="12"/>
  </w:compat>
  <w:rsids>
    <w:rsidRoot w:val="005F1E11"/>
    <w:rsid w:val="000F4DFE"/>
    <w:rsid w:val="002C06F0"/>
    <w:rsid w:val="00320584"/>
    <w:rsid w:val="00325EA3"/>
    <w:rsid w:val="00353B6D"/>
    <w:rsid w:val="00520019"/>
    <w:rsid w:val="00540C7B"/>
    <w:rsid w:val="005C5C9A"/>
    <w:rsid w:val="005F1E11"/>
    <w:rsid w:val="00641C9E"/>
    <w:rsid w:val="006B1F99"/>
    <w:rsid w:val="00890FF7"/>
    <w:rsid w:val="009325F4"/>
    <w:rsid w:val="009975DF"/>
    <w:rsid w:val="009D5A05"/>
    <w:rsid w:val="00C60FAB"/>
    <w:rsid w:val="00CF6C75"/>
    <w:rsid w:val="00D81782"/>
    <w:rsid w:val="00F81062"/>
    <w:rsid w:val="00F90BE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11EA"/>
    <w:pPr>
      <w:spacing w:after="160" w:line="259" w:lineRule="auto"/>
    </w:pPr>
    <w:rPr>
      <w:lang w:val="uk-UA"/>
    </w:rPr>
  </w:style>
  <w:style w:type="paragraph" w:styleId="1">
    <w:name w:val="heading 1"/>
    <w:basedOn w:val="a"/>
    <w:next w:val="a"/>
    <w:link w:val="10"/>
    <w:qFormat/>
    <w:rsid w:val="009379BA"/>
    <w:pPr>
      <w:keepNext/>
      <w:spacing w:after="0" w:line="240" w:lineRule="auto"/>
      <w:jc w:val="center"/>
      <w:outlineLvl w:val="0"/>
    </w:pPr>
    <w:rPr>
      <w:rFonts w:ascii="Times New Roman" w:eastAsia="Times New Roman" w:hAnsi="Times New Roman" w:cs="Times New Roman"/>
      <w:b/>
      <w:sz w:val="32"/>
      <w:szCs w:val="20"/>
      <w:lang w:val="en-US" w:eastAsia="ru-RU"/>
    </w:rPr>
  </w:style>
  <w:style w:type="paragraph" w:styleId="2">
    <w:name w:val="heading 2"/>
    <w:basedOn w:val="a"/>
    <w:next w:val="a"/>
    <w:link w:val="20"/>
    <w:uiPriority w:val="9"/>
    <w:semiHidden/>
    <w:unhideWhenUsed/>
    <w:qFormat/>
    <w:rsid w:val="009379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9379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2511EA"/>
    <w:rPr>
      <w:color w:val="0563C1"/>
      <w:u w:val="single"/>
    </w:rPr>
  </w:style>
  <w:style w:type="character" w:customStyle="1" w:styleId="markedcontent">
    <w:name w:val="markedcontent"/>
    <w:basedOn w:val="a0"/>
    <w:qFormat/>
    <w:rsid w:val="002511EA"/>
  </w:style>
  <w:style w:type="character" w:styleId="a4">
    <w:name w:val="Strong"/>
    <w:basedOn w:val="a0"/>
    <w:uiPriority w:val="22"/>
    <w:qFormat/>
    <w:rsid w:val="002511EA"/>
    <w:rPr>
      <w:b/>
      <w:bCs/>
    </w:rPr>
  </w:style>
  <w:style w:type="character" w:styleId="a5">
    <w:name w:val="Emphasis"/>
    <w:basedOn w:val="a0"/>
    <w:uiPriority w:val="20"/>
    <w:qFormat/>
    <w:rsid w:val="002511EA"/>
    <w:rPr>
      <w:i/>
      <w:iCs/>
    </w:rPr>
  </w:style>
  <w:style w:type="character" w:customStyle="1" w:styleId="bumpedfont15">
    <w:name w:val="bumpedfont15"/>
    <w:basedOn w:val="a0"/>
    <w:qFormat/>
    <w:rsid w:val="00982508"/>
  </w:style>
  <w:style w:type="character" w:customStyle="1" w:styleId="10">
    <w:name w:val="Заголовок 1 Знак"/>
    <w:basedOn w:val="a0"/>
    <w:link w:val="1"/>
    <w:qFormat/>
    <w:rsid w:val="009379BA"/>
    <w:rPr>
      <w:rFonts w:ascii="Times New Roman" w:eastAsia="Times New Roman" w:hAnsi="Times New Roman" w:cs="Times New Roman"/>
      <w:b/>
      <w:sz w:val="32"/>
      <w:szCs w:val="20"/>
      <w:lang w:val="en-US" w:eastAsia="ru-RU"/>
    </w:rPr>
  </w:style>
  <w:style w:type="character" w:customStyle="1" w:styleId="a6">
    <w:name w:val="Основной текст с отступом Знак"/>
    <w:basedOn w:val="a0"/>
    <w:link w:val="a7"/>
    <w:qFormat/>
    <w:rsid w:val="009379BA"/>
    <w:rPr>
      <w:rFonts w:ascii="Times New Roman" w:eastAsia="Times New Roman" w:hAnsi="Times New Roman" w:cs="Times New Roman"/>
      <w:sz w:val="24"/>
      <w:szCs w:val="20"/>
      <w:lang w:eastAsia="ru-RU"/>
    </w:rPr>
  </w:style>
  <w:style w:type="character" w:customStyle="1" w:styleId="20">
    <w:name w:val="Заголовок 2 Знак"/>
    <w:basedOn w:val="a0"/>
    <w:link w:val="2"/>
    <w:uiPriority w:val="9"/>
    <w:semiHidden/>
    <w:qFormat/>
    <w:rsid w:val="009379BA"/>
    <w:rPr>
      <w:rFonts w:asciiTheme="majorHAnsi" w:eastAsiaTheme="majorEastAsia" w:hAnsiTheme="majorHAnsi" w:cstheme="majorBidi"/>
      <w:b/>
      <w:bCs/>
      <w:color w:val="4F81BD" w:themeColor="accent1"/>
      <w:sz w:val="26"/>
      <w:szCs w:val="26"/>
      <w:lang w:val="uk-UA"/>
    </w:rPr>
  </w:style>
  <w:style w:type="character" w:customStyle="1" w:styleId="30">
    <w:name w:val="Заголовок 3 Знак"/>
    <w:basedOn w:val="a0"/>
    <w:link w:val="3"/>
    <w:uiPriority w:val="9"/>
    <w:semiHidden/>
    <w:qFormat/>
    <w:rsid w:val="009379BA"/>
    <w:rPr>
      <w:rFonts w:asciiTheme="majorHAnsi" w:eastAsiaTheme="majorEastAsia" w:hAnsiTheme="majorHAnsi" w:cstheme="majorBidi"/>
      <w:b/>
      <w:bCs/>
      <w:color w:val="4F81BD" w:themeColor="accent1"/>
      <w:lang w:val="uk-UA"/>
    </w:rPr>
  </w:style>
  <w:style w:type="character" w:customStyle="1" w:styleId="a8">
    <w:name w:val="Символ нумерації"/>
    <w:qFormat/>
    <w:rPr>
      <w:rFonts w:ascii="Times New Roman" w:hAnsi="Times New Roman"/>
      <w:sz w:val="28"/>
      <w:szCs w:val="28"/>
    </w:rPr>
  </w:style>
  <w:style w:type="paragraph" w:customStyle="1" w:styleId="a9">
    <w:name w:val="Заголовок"/>
    <w:basedOn w:val="a"/>
    <w:next w:val="aa"/>
    <w:qFormat/>
    <w:pPr>
      <w:keepNext/>
      <w:spacing w:before="240" w:after="120"/>
    </w:pPr>
    <w:rPr>
      <w:rFonts w:ascii="Liberation Sans" w:eastAsia="Microsoft YaHei" w:hAnsi="Liberation Sans" w:cs="Arial"/>
      <w:sz w:val="28"/>
      <w:szCs w:val="28"/>
    </w:rPr>
  </w:style>
  <w:style w:type="paragraph" w:styleId="aa">
    <w:name w:val="Body Text"/>
    <w:basedOn w:val="a"/>
    <w:pPr>
      <w:spacing w:after="140" w:line="276" w:lineRule="auto"/>
    </w:pPr>
  </w:style>
  <w:style w:type="paragraph" w:styleId="ab">
    <w:name w:val="List"/>
    <w:basedOn w:val="aa"/>
    <w:rPr>
      <w:rFonts w:cs="Arial"/>
    </w:rPr>
  </w:style>
  <w:style w:type="paragraph" w:styleId="ac">
    <w:name w:val="caption"/>
    <w:basedOn w:val="a"/>
    <w:qFormat/>
    <w:pPr>
      <w:suppressLineNumbers/>
      <w:spacing w:before="120" w:after="120"/>
    </w:pPr>
    <w:rPr>
      <w:rFonts w:cs="Arial"/>
      <w:i/>
      <w:iCs/>
      <w:sz w:val="24"/>
      <w:szCs w:val="24"/>
    </w:rPr>
  </w:style>
  <w:style w:type="paragraph" w:customStyle="1" w:styleId="ad">
    <w:name w:val="Покажчик"/>
    <w:basedOn w:val="a"/>
    <w:qFormat/>
    <w:pPr>
      <w:suppressLineNumbers/>
    </w:pPr>
    <w:rPr>
      <w:rFonts w:cs="Arial"/>
    </w:rPr>
  </w:style>
  <w:style w:type="paragraph" w:styleId="ae">
    <w:name w:val="No Spacing"/>
    <w:uiPriority w:val="1"/>
    <w:qFormat/>
    <w:rsid w:val="002511EA"/>
  </w:style>
  <w:style w:type="paragraph" w:styleId="af">
    <w:name w:val="Normal (Web)"/>
    <w:basedOn w:val="a"/>
    <w:uiPriority w:val="99"/>
    <w:unhideWhenUsed/>
    <w:qFormat/>
    <w:rsid w:val="002511EA"/>
    <w:pPr>
      <w:spacing w:beforeAutospacing="1" w:afterAutospacing="1" w:line="240" w:lineRule="auto"/>
    </w:pPr>
    <w:rPr>
      <w:rFonts w:ascii="Times New Roman" w:eastAsia="Times New Roman" w:hAnsi="Times New Roman" w:cs="Times New Roman"/>
      <w:sz w:val="24"/>
      <w:szCs w:val="24"/>
      <w:lang w:val="ru-RU" w:eastAsia="ru-RU"/>
    </w:rPr>
  </w:style>
  <w:style w:type="paragraph" w:styleId="af0">
    <w:name w:val="List Paragraph"/>
    <w:basedOn w:val="a"/>
    <w:qFormat/>
    <w:rsid w:val="002511EA"/>
    <w:pPr>
      <w:spacing w:after="0" w:line="240" w:lineRule="auto"/>
      <w:ind w:left="720"/>
      <w:contextualSpacing/>
    </w:pPr>
    <w:rPr>
      <w:rFonts w:ascii="Calibri" w:eastAsia="Times New Roman" w:hAnsi="Calibri" w:cs="Times New Roman"/>
      <w:lang w:val="en-US"/>
    </w:rPr>
  </w:style>
  <w:style w:type="paragraph" w:customStyle="1" w:styleId="af1">
    <w:name w:val="автор"/>
    <w:basedOn w:val="a"/>
    <w:uiPriority w:val="99"/>
    <w:qFormat/>
    <w:rsid w:val="00B15A8E"/>
    <w:pPr>
      <w:spacing w:after="120" w:line="240" w:lineRule="auto"/>
      <w:jc w:val="center"/>
    </w:pPr>
    <w:rPr>
      <w:rFonts w:ascii="Times New Roman" w:eastAsia="Times New Roman" w:hAnsi="Times New Roman" w:cs="Times New Roman"/>
      <w:szCs w:val="24"/>
      <w:lang w:eastAsia="ru-RU"/>
    </w:rPr>
  </w:style>
  <w:style w:type="paragraph" w:customStyle="1" w:styleId="pdq2pgselectionanchorcontainer">
    <w:name w:val="pdq2pg_selectionanchorcontainer"/>
    <w:basedOn w:val="a"/>
    <w:qFormat/>
    <w:rsid w:val="00B15A8E"/>
    <w:pPr>
      <w:spacing w:beforeAutospacing="1" w:afterAutospacing="1" w:line="240" w:lineRule="auto"/>
    </w:pPr>
    <w:rPr>
      <w:rFonts w:ascii="Times New Roman" w:eastAsia="Times New Roman" w:hAnsi="Times New Roman" w:cs="Times New Roman"/>
      <w:sz w:val="24"/>
      <w:szCs w:val="24"/>
      <w:lang w:eastAsia="uk-UA"/>
    </w:rPr>
  </w:style>
  <w:style w:type="paragraph" w:styleId="a7">
    <w:name w:val="Body Text Indent"/>
    <w:basedOn w:val="a"/>
    <w:link w:val="a6"/>
    <w:rsid w:val="009379BA"/>
    <w:pPr>
      <w:spacing w:after="0" w:line="240" w:lineRule="auto"/>
      <w:ind w:firstLine="567"/>
      <w:jc w:val="both"/>
    </w:pPr>
    <w:rPr>
      <w:rFonts w:ascii="Times New Roman" w:eastAsia="Times New Roman" w:hAnsi="Times New Roman" w:cs="Times New Roman"/>
      <w:sz w:val="24"/>
      <w:szCs w:val="20"/>
      <w:lang w:val="ru-RU" w:eastAsia="ru-RU"/>
    </w:rPr>
  </w:style>
  <w:style w:type="character" w:customStyle="1" w:styleId="contents">
    <w:name w:val="contents"/>
    <w:basedOn w:val="a0"/>
    <w:rsid w:val="002C06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2518012">
      <w:bodyDiv w:val="1"/>
      <w:marLeft w:val="0"/>
      <w:marRight w:val="0"/>
      <w:marTop w:val="0"/>
      <w:marBottom w:val="0"/>
      <w:divBdr>
        <w:top w:val="none" w:sz="0" w:space="0" w:color="auto"/>
        <w:left w:val="none" w:sz="0" w:space="0" w:color="auto"/>
        <w:bottom w:val="none" w:sz="0" w:space="0" w:color="auto"/>
        <w:right w:val="none" w:sz="0" w:space="0" w:color="auto"/>
      </w:divBdr>
    </w:div>
    <w:div w:id="20894954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leksander_sytnyk@i.ua" TargetMode="External"/><Relationship Id="rId13" Type="http://schemas.openxmlformats.org/officeDocument/2006/relationships/hyperlink" Target="mailto:gorbovaolga279@gmail.com" TargetMode="External"/><Relationship Id="rId3" Type="http://schemas.openxmlformats.org/officeDocument/2006/relationships/styles" Target="styles.xml"/><Relationship Id="rId7" Type="http://schemas.openxmlformats.org/officeDocument/2006/relationships/hyperlink" Target="https://orcid.org/0000-0002-9168-4123" TargetMode="External"/><Relationship Id="rId12" Type="http://schemas.openxmlformats.org/officeDocument/2006/relationships/hyperlink" Target="https://orcid.org/0009-0003-7968-209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oleksander_sytnyk@i.ua"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gorbovaolga279@gmail.com" TargetMode="External"/><Relationship Id="rId4" Type="http://schemas.microsoft.com/office/2007/relationships/stylesWithEffects" Target="stylesWithEffects.xml"/><Relationship Id="rId9" Type="http://schemas.openxmlformats.org/officeDocument/2006/relationships/hyperlink" Target="https://orcid.org/0009-0003-7968-209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761EC-FA7B-4D42-8D24-0B190C984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1265</TotalTime>
  <Pages>1</Pages>
  <Words>23949</Words>
  <Characters>13652</Characters>
  <Application>Microsoft Office Word</Application>
  <DocSecurity>0</DocSecurity>
  <Lines>113</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Batki</dc:creator>
  <dc:description/>
  <cp:lastModifiedBy>Admin</cp:lastModifiedBy>
  <cp:revision>36</cp:revision>
  <dcterms:created xsi:type="dcterms:W3CDTF">2025-01-10T10:58:00Z</dcterms:created>
  <dcterms:modified xsi:type="dcterms:W3CDTF">2026-09-11T10:29:00Z</dcterms:modified>
  <dc:language>en-US</dc:language>
</cp:coreProperties>
</file>